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2026-06 • Réalisée le 12 octobre 2026 • Période couverte : 6 – 12 octobre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CPF : la filière passe à l’offensive judiciaire — référé devant le Conseil d’État contre le « bandeau » des 200 €, et le Medef rejoint la fronde contre le PLF 2027.</w:t>
      </w:r>
      <w:r>
        <w:t xml:space="preserve"> </w:t>
      </w:r>
      <w:r>
        <w:t xml:space="preserve">Les Acteurs de la Compétence et le Synofdes ont annoncé le 8 octobre un référé devant le Conseil d’État, dont le dépôt est annoncé pour la semaine du 12 octobre, pour obtenir le retrait des bandeaux affichés sur Mon Compte Formation depuis le 2 octobre (engagement à verser un complément pouvant atteindre 200 € au titre d’une loi non votée). Le 9 octobre, le Medef a publié une lettre ouverte au Gouvernement — « arrêtons de massacrer le CPF » — dénonçant l’article 89 du PLF 2027 (350 M€ d’économies sur le CPF, majoration rétroactive aux demandes faites depuis le 1er octobre, montants renvoyés à des décrets) et le fléchage d’environ 1,1 Md€ de Cufpa des entreprises vers le budget général de l’État, au point d’envisager de quitter le conseil d’administration de France compétences. Les débats en séance à l’Assemblée nationale s’ouvrent le 13 octobre. Pendant ce temps, à J-20 de l’entrée en vigueur du référentiel Qualiopi à 33 indicateurs, le guide de lecture V10 et les arrêtés des indicateurs 19-20 n’étaient toujours pas publiés au 10 octobre.</w:t>
      </w:r>
    </w:p>
    <w:bookmarkEnd w:id="20"/>
    <w:bookmarkStart w:id="34" w:name="X5876ee4bbe0bd103dff81c4f15b870aca873b7a"/>
    <w:p>
      <w:pPr>
        <w:pStyle w:val="Heading2"/>
      </w:pPr>
      <w:r>
        <w:t xml:space="preserve">1. Veille légale et réglementaire (indicateur 23)</w:t>
      </w:r>
    </w:p>
    <w:bookmarkStart w:id="22" w:name="X4dd56b9f18194019ac96b3cdfdbbab5c1e53e83"/>
    <w:p>
      <w:pPr>
        <w:pStyle w:val="Heading3"/>
      </w:pPr>
      <w:r>
        <w:t xml:space="preserve">Bandeau CPF « 200 € » : la filière saisit le Conseil d’État en référé</w:t>
      </w:r>
    </w:p>
    <w:p>
      <w:pPr>
        <w:pStyle w:val="FirstParagraph"/>
      </w:pPr>
      <w:r>
        <w:rPr>
          <w:bCs/>
          <w:b/>
        </w:rPr>
        <w:t xml:space="preserve">08/10/2026</w:t>
      </w:r>
      <w:r>
        <w:t xml:space="preserve"> </w:t>
      </w:r>
      <w:r>
        <w:t xml:space="preserve">— CPFormation / Les Acteurs de la Compétence et Synofdes</w:t>
      </w:r>
    </w:p>
    <w:p>
      <w:pPr>
        <w:pStyle w:val="BodyText"/>
      </w:pPr>
      <w:r>
        <w:t xml:space="preserve">Les deux organisations patronales des organismes de formation annoncent un référé devant le Conseil d’État — dépôt annoncé pour la semaine du 12 octobre — pour obtenir le retrait des bandeaux affichés sur Mon Compte Formation depuis le 2 octobre, qui conditionnent toute validation de dossier à l’acceptation d’un complément de participation pouvant atteindre 200 €, payable en 2027. Arguments : le complément repose sur l’article 89 du PLF 2027, non voté ni même examiné par le Parlement ; le montant de 200 € ne figure pas dans le texte ; le projet vise les demandes faites à partir du 1er octobre alors que le bandeau parle des demandes validées à compter du 2 octobre ; et le dispositif dissuaderait les titulaires d’utiliser un droit encore en vigueur (« réguler la dépense par le renoncement », selon Yves Hinnekint). En droit positif, la participation obligatoire reste de 150 € (en vigueur depuis le 2 avril 2026). Le juge des référés devra apprécier l’urgence et l’existence d’un doute sérieux sur la légalité.</w:t>
      </w:r>
    </w:p>
    <w:p>
      <w:pPr>
        <w:pStyle w:val="BodyText"/>
      </w:pPr>
      <w:r>
        <w:rPr>
          <w:iCs/>
          <w:i/>
        </w:rPr>
        <w:t xml:space="preserve">Impact pour l’organisme : suivre de près l’issue du référé (le retrait éventuel des bandeaux changerait immédiatement le parcours d’achat CPF) ; en attendant, maintenir l’information transparente des stagiaires sur le complément éventuel (critère 1) et conserver la mention dans devis et parcours d’inscription mise en place la semaine passée ; tracer ce suivi dans le registre de veille (preuve indicateur 23).</w:t>
      </w:r>
    </w:p>
    <w:p>
      <w:pPr>
        <w:pStyle w:val="BodyText"/>
      </w:pPr>
      <w:r>
        <w:t xml:space="preserve">Source :</w:t>
      </w:r>
      <w:r>
        <w:t xml:space="preserve"> </w:t>
      </w:r>
      <w:hyperlink r:id="rId21">
        <w:r>
          <w:rPr>
            <w:rStyle w:val="Hyperlink"/>
          </w:rPr>
          <w:t xml:space="preserve">https://cpformation.com/bandeau-cpf-une-loi-qui-nexiste-pas-la-filiere-saisit-le-conseil-detat/</w:t>
        </w:r>
      </w:hyperlink>
    </w:p>
    <w:bookmarkEnd w:id="22"/>
    <w:bookmarkStart w:id="27" w:name="X81de58ac6d6d2a4ab8191debad47c2941c00c07"/>
    <w:p>
      <w:pPr>
        <w:pStyle w:val="Heading3"/>
      </w:pPr>
      <w:r>
        <w:t xml:space="preserve">PLF 2027 : le Medef rejoint la fronde (« arrêtons de massacrer le CPF ») et conteste le fléchage de la Cufpa</w:t>
      </w:r>
    </w:p>
    <w:p>
      <w:pPr>
        <w:pStyle w:val="FirstParagraph"/>
      </w:pPr>
      <w:r>
        <w:rPr>
          <w:bCs/>
          <w:b/>
        </w:rPr>
        <w:t xml:space="preserve">07-09/10/2026</w:t>
      </w:r>
      <w:r>
        <w:t xml:space="preserve"> </w:t>
      </w:r>
      <w:r>
        <w:t xml:space="preserve">— CPFormation / Medef</w:t>
      </w:r>
    </w:p>
    <w:p>
      <w:pPr>
        <w:pStyle w:val="BodyText"/>
      </w:pPr>
      <w:r>
        <w:t xml:space="preserve">Dans une lettre ouverte au Gouvernement publiée le 9 octobre, le pôle Compétences, Formation et Jeunesse du Medef accuse l’exécutif d’organiser « la mort à petit feu du CPF ». Sont visés : les 350 M€ d’économies attendues sur le CPF en 2027 (article 89 du PLF), la majoration de participation pour les formations « non prioritaires » (demandeurs d’emploi, PTP et certifications des métiers en tension exclus), le questionnaire de projet préalable (entrée en vigueur au 1er janvier 2028, avec orientation vers le CEP ou participation majorée en cas de refus), la rétroactivité aux demandes faites depuis le 1er octobre 2026, et le renvoi des montants et critères à des décrets et arrêtés échappant au vote parlementaire. Le Medef dénonce aussi (article du 7 octobre) le fléchage d’environ 1,1 Md€ de Cufpa versés par les entreprises vers le budget général de l’État — « un scandale » selon Olivier Faron — et envisage de quitter le conseil d’administration de France compétences. Repères budgétaires : budget CPF de France compétences passé de 1,96 Md€ (2025) à 1,31 Md€ (2026) ; la réforme générerait 667 M€ de moindres dépenses en 2027 selon l’exposé des motifs ; une dépêche AEF du début de période titre par ailleurs que la réforme sera rétroactive au 1er octobre 2026 et que le PLF envisage jusqu’à 30 % de renoncements à la formation. Débats en séance à l’Assemblée nationale à partir du 13 octobre, vote final attendu en décembre.</w:t>
      </w:r>
    </w:p>
    <w:p>
      <w:pPr>
        <w:pStyle w:val="BodyText"/>
      </w:pPr>
      <w:r>
        <w:rPr>
          <w:iCs/>
          <w:i/>
        </w:rPr>
        <w:t xml:space="preserve">Impact pour l’organisme : le front patronal (Medef + fédérations de la formation + certificateurs) augmente la probabilité d’amendements sur l’article 89 — suivre les débats parlementaires à partir du 13 octobre avant de figer les hypothèses budgétaires 2027 ; conserver néanmoins l’hypothèse basse CPF actée en revue de direction (fiche 2026-05) tant que le texte n’est pas amendé.</w:t>
      </w:r>
    </w:p>
    <w:p>
      <w:pPr>
        <w:pStyle w:val="BodyText"/>
      </w:pPr>
      <w:r>
        <w:t xml:space="preserve">Source :</w:t>
      </w:r>
      <w:r>
        <w:t xml:space="preserve"> </w:t>
      </w:r>
      <w:hyperlink r:id="rId23">
        <w:r>
          <w:rPr>
            <w:rStyle w:val="Hyperlink"/>
          </w:rPr>
          <w:t xml:space="preserve">https://cpformation.com/arretons-de-massacrer-le-cpf-le-medef-rejoint-la-fronde-contre-le-plf-2027/</w:t>
        </w:r>
      </w:hyperlink>
      <w:r>
        <w:t xml:space="preserve"> </w:t>
      </w:r>
      <w:r>
        <w:t xml:space="preserve">•</w:t>
      </w:r>
      <w:r>
        <w:t xml:space="preserve"> </w:t>
      </w:r>
      <w:hyperlink r:id="rId24">
        <w:r>
          <w:rPr>
            <w:rStyle w:val="Hyperlink"/>
          </w:rPr>
          <w:t xml:space="preserve">https://cpformation.com/cufpa-11-milliard-deuros-des-entreprises-vers-le-budget-de-letat-le-medef-interroge-sa-place-a-france-competences/</w:t>
        </w:r>
      </w:hyperlink>
      <w:r>
        <w:t xml:space="preserve"> </w:t>
      </w:r>
      <w:r>
        <w:t xml:space="preserve">•</w:t>
      </w:r>
      <w:r>
        <w:t xml:space="preserve"> </w:t>
      </w:r>
      <w:hyperlink r:id="rId25">
        <w:r>
          <w:rPr>
            <w:rStyle w:val="Hyperlink"/>
          </w:rPr>
          <w:t xml:space="preserve">https://www.aefinfo.fr/depeche/757956</w:t>
        </w:r>
      </w:hyperlink>
      <w:r>
        <w:t xml:space="preserve"> </w:t>
      </w:r>
      <w:r>
        <w:t xml:space="preserve">•</w:t>
      </w:r>
      <w:r>
        <w:t xml:space="preserve"> </w:t>
      </w:r>
      <w:hyperlink r:id="rId26">
        <w:r>
          <w:rPr>
            <w:rStyle w:val="Hyperlink"/>
          </w:rPr>
          <w:t xml:space="preserve">https://cpformation.com/plf-2027-et-cpf-a-350-e-loi-decret-arrete-qui-decide-vraiment-quoi/</w:t>
        </w:r>
      </w:hyperlink>
    </w:p>
    <w:bookmarkEnd w:id="27"/>
    <w:bookmarkStart w:id="31" w:name="Xef535e3f0f5a02f821e22b224d45e0d082ca1a6"/>
    <w:p>
      <w:pPr>
        <w:pStyle w:val="Heading3"/>
      </w:pPr>
      <w:r>
        <w:t xml:space="preserve">Qualiopi V10 à J-20 : toujours ni guide de lecture ni arrêtés indicateurs 19-20 ; « 80 % des nouveautés concernent les CFA »</w:t>
      </w:r>
    </w:p>
    <w:p>
      <w:pPr>
        <w:pStyle w:val="FirstParagraph"/>
      </w:pPr>
      <w:r>
        <w:rPr>
          <w:bCs/>
          <w:b/>
        </w:rPr>
        <w:t xml:space="preserve">06-10/10/2026</w:t>
      </w:r>
      <w:r>
        <w:t xml:space="preserve"> </w:t>
      </w:r>
      <w:r>
        <w:t xml:space="preserve">— Certiforma (vérification au 10/10) / Digiformag-Certifopac</w:t>
      </w:r>
    </w:p>
    <w:p>
      <w:pPr>
        <w:pStyle w:val="BodyText"/>
      </w:pPr>
      <w:r>
        <w:t xml:space="preserve">Au 10 octobre (page Certiforma mise à jour à cette date), ni le guide de lecture V10 ni les deux arrêtés attendus sur les indicateurs 19 (référent pédagogique / formation à distance) et 20 (proportion d’intervenants permanents) n’étaient publiés, à trois semaines de l’entrée en vigueur du référentiel à 33 indicateurs (décret n° 2026-728, 1er novembre 2026). À noter, l’interview de Jimmy Martin (Certifopac) publiée le 6 octobre par Digiformag : selon lui, « 80 % des nouveautés de la V10 de Qualiopi concernent les CFA » — les organismes de formation « classiques » sont surtout touchés par les exigences transverses (allégations publiques, sous-traitance, traçabilité du distanciel).</w:t>
      </w:r>
    </w:p>
    <w:p>
      <w:pPr>
        <w:pStyle w:val="BodyText"/>
      </w:pPr>
      <w:r>
        <w:rPr>
          <w:iCs/>
          <w:i/>
        </w:rPr>
        <w:t xml:space="preserve">Impact pour l’organisme : poursuivre l’auto-diagnostic V10 sur la seule base du décret ; si l’organisme n’a pas d’activité CFA, concentrer l’effort sur les indicateurs transverses ; continuer la vérification hebdomadaire de la page ministérielle et tracer l’absence de publication dans le registre de veille (preuve indicateur 23).</w:t>
      </w:r>
    </w:p>
    <w:p>
      <w:pPr>
        <w:pStyle w:val="BodyText"/>
      </w:pPr>
      <w:r>
        <w:t xml:space="preserve">Source :</w:t>
      </w:r>
      <w:r>
        <w:t xml:space="preserve"> </w:t>
      </w:r>
      <w:hyperlink r:id="rId28">
        <w:r>
          <w:rPr>
            <w:rStyle w:val="Hyperlink"/>
          </w:rPr>
          <w:t xml:space="preserve">https://certiforma.fr/qualiopi-v10/</w:t>
        </w:r>
      </w:hyperlink>
      <w:r>
        <w:t xml:space="preserve"> </w:t>
      </w:r>
      <w:r>
        <w:t xml:space="preserve">•</w:t>
      </w:r>
      <w:r>
        <w:t xml:space="preserve"> </w:t>
      </w:r>
      <w:hyperlink r:id="rId29">
        <w:r>
          <w:rPr>
            <w:rStyle w:val="Hyperlink"/>
          </w:rPr>
          <w:t xml:space="preserve">https://www.digiformag.com/</w:t>
        </w:r>
      </w:hyperlink>
      <w:r>
        <w:t xml:space="preserve"> </w:t>
      </w:r>
      <w:r>
        <w:t xml:space="preserve">•</w:t>
      </w:r>
      <w:r>
        <w:t xml:space="preserve"> </w:t>
      </w:r>
      <w:hyperlink r:id="rId30">
        <w:r>
          <w:rPr>
            <w:rStyle w:val="Hyperlink"/>
          </w:rPr>
          <w:t xml:space="preserve">https://travail-emploi.gouv.fr/referentiel-national-qualite-guide-de-lecture-qualiopi</w:t>
        </w:r>
      </w:hyperlink>
    </w:p>
    <w:bookmarkEnd w:id="31"/>
    <w:bookmarkStart w:id="33" w:name="Xa744d84e8655d94b3638a0223e6a0d9b4429c31"/>
    <w:p>
      <w:pPr>
        <w:pStyle w:val="Heading3"/>
      </w:pPr>
      <w:r>
        <w:t xml:space="preserve">France compétences : nouveau modèle de convention avec les OPCO et renouvellement de la commission certification</w:t>
      </w:r>
    </w:p>
    <w:p>
      <w:pPr>
        <w:pStyle w:val="FirstParagraph"/>
      </w:pPr>
      <w:r>
        <w:rPr>
          <w:bCs/>
          <w:b/>
        </w:rPr>
        <w:t xml:space="preserve">06-09/10/2026</w:t>
      </w:r>
      <w:r>
        <w:t xml:space="preserve"> </w:t>
      </w:r>
      <w:r>
        <w:t xml:space="preserve">— France compétences (publications officielles)</w:t>
      </w:r>
    </w:p>
    <w:p>
      <w:pPr>
        <w:pStyle w:val="BodyText"/>
      </w:pPr>
      <w:r>
        <w:t xml:space="preserve">Deux publications de gouvernance cette semaine : l’approbation du projet de modèle de convention entre France compétences et les opérateurs de compétences (mise en ligne le 6 octobre), qui cadrera les relations financières et de reporting entre le régulateur et les OPCO ; et l’arrêté du 6 octobre 2026 portant nomination à la commission de France compétences en charge de la certification professionnelle (publié le 9 octobre). Dans le contexte de la bascule OPCO du 1er octobre (fin du régime dérogatoire de TVA / subrogation, signalée dans la fiche 2026-05 et toujours à confirmer OPCO par OPCO), ce nouveau cadre conventionnel est à surveiller.</w:t>
      </w:r>
    </w:p>
    <w:p>
      <w:pPr>
        <w:pStyle w:val="BodyText"/>
      </w:pPr>
      <w:r>
        <w:rPr>
          <w:iCs/>
          <w:i/>
        </w:rPr>
        <w:t xml:space="preserve">Impact pour l’organisme : pas d’effet direct immédiat, mais la commission certification renouvelée instruira les prochaines demandes RNCP/RS (échéances d’enregistrement des certifications préparées) ; poursuivre en parallèle la vérification, auprès de chaque OPCO partenaire, des modalités de prise en charge des accords émis depuis le 1er octobre.</w:t>
      </w:r>
    </w:p>
    <w:p>
      <w:pPr>
        <w:pStyle w:val="BodyText"/>
      </w:pPr>
      <w:r>
        <w:t xml:space="preserve">Source :</w:t>
      </w:r>
      <w:r>
        <w:t xml:space="preserve"> </w:t>
      </w:r>
      <w:hyperlink r:id="rId32">
        <w:r>
          <w:rPr>
            <w:rStyle w:val="Hyperlink"/>
          </w:rPr>
          <w:t xml:space="preserve">https://www.francecompetences.fr/</w:t>
        </w:r>
      </w:hyperlink>
    </w:p>
    <w:bookmarkEnd w:id="33"/>
    <w:bookmarkEnd w:id="34"/>
    <w:bookmarkStart w:id="42" w:name="Xbb6cb3fc6155c3b4882d70d43cd43887fab2960"/>
    <w:p>
      <w:pPr>
        <w:pStyle w:val="Heading2"/>
      </w:pPr>
      <w:r>
        <w:t xml:space="preserve">2. Veille métiers, compétences et certifications (indicateur 23)</w:t>
      </w:r>
    </w:p>
    <w:bookmarkStart w:id="37" w:name="Xbe9dd2df47ce3842a603d75d5eb3b40fcfb9ff6"/>
    <w:p>
      <w:pPr>
        <w:pStyle w:val="Heading3"/>
      </w:pPr>
      <w:r>
        <w:t xml:space="preserve">Certifications enregistrées fin septembre : les analyses détaillées sont disponibles</w:t>
      </w:r>
    </w:p>
    <w:p>
      <w:pPr>
        <w:pStyle w:val="FirstParagraph"/>
      </w:pPr>
      <w:r>
        <w:rPr>
          <w:bCs/>
          <w:b/>
        </w:rPr>
        <w:t xml:space="preserve">10/10/2026</w:t>
      </w:r>
      <w:r>
        <w:t xml:space="preserve"> </w:t>
      </w:r>
      <w:r>
        <w:t xml:space="preserve">— Blog spécialisé (analyse des décisions France compétences du 30 septembre)</w:t>
      </w:r>
    </w:p>
    <w:p>
      <w:pPr>
        <w:pStyle w:val="BodyText"/>
      </w:pPr>
      <w:r>
        <w:t xml:space="preserve">Après la mise en ligne, le 1er octobre, des « Décisions d’enregistrement aux répertoires nationaux – Septembre 2026 », les premières analyses détaillées paraissent : un décryptage publié le 10 octobre passe en revue six certifications enregistrées le 30 septembre (métier visé, prérequis, organismes préparateurs), utile pour qualifier rapidement les nouvelles fiches RNCP/RS.</w:t>
      </w:r>
    </w:p>
    <w:p>
      <w:pPr>
        <w:pStyle w:val="BodyText"/>
      </w:pPr>
      <w:r>
        <w:rPr>
          <w:iCs/>
          <w:i/>
        </w:rPr>
        <w:t xml:space="preserve">Impact pour l’organisme : croiser la délibération officielle de France compétences avec ces analyses pour mettre à jour le tableau de suivi des certifications préparées ou visées (nouveaux enregistrements, renouvellements, échéances) — preuve directe pour l’indicateur 23 ; vérifier les blocs de compétences des titres concernés dans EDOF avant l’échéance du 22 octobre.</w:t>
      </w:r>
    </w:p>
    <w:p>
      <w:pPr>
        <w:pStyle w:val="BodyText"/>
      </w:pPr>
      <w:r>
        <w:t xml:space="preserve">Source :</w:t>
      </w:r>
      <w:r>
        <w:t xml:space="preserve"> </w:t>
      </w:r>
      <w:hyperlink r:id="rId35">
        <w:r>
          <w:rPr>
            <w:rStyle w:val="Hyperlink"/>
          </w:rPr>
          <w:t xml:space="preserve">https://www.benjaminduplaa.com/blog/actualite-formation-professionnelle</w:t>
        </w:r>
      </w:hyperlink>
      <w:r>
        <w:t xml:space="preserve"> </w:t>
      </w:r>
      <w:r>
        <w:t xml:space="preserve">•</w:t>
      </w:r>
      <w:r>
        <w:t xml:space="preserve"> </w:t>
      </w:r>
      <w:hyperlink r:id="rId36">
        <w:r>
          <w:rPr>
            <w:rStyle w:val="Hyperlink"/>
          </w:rPr>
          <w:t xml:space="preserve">https://www.francecompetences.fr/deliberation-de-la-commission-de-la-certification-professionnelle/</w:t>
        </w:r>
      </w:hyperlink>
    </w:p>
    <w:bookmarkEnd w:id="37"/>
    <w:bookmarkStart w:id="39" w:name="X3a00a6a545adfcc45a6023c4cc6d2d99b37e773"/>
    <w:p>
      <w:pPr>
        <w:pStyle w:val="Heading3"/>
      </w:pPr>
      <w:r>
        <w:t xml:space="preserve">Formation linguistique : naissance de FEEL, une voix commune pour le secteur</w:t>
      </w:r>
    </w:p>
    <w:p>
      <w:pPr>
        <w:pStyle w:val="FirstParagraph"/>
      </w:pPr>
      <w:r>
        <w:rPr>
          <w:bCs/>
          <w:b/>
        </w:rPr>
        <w:t xml:space="preserve">06/10/2026</w:t>
      </w:r>
      <w:r>
        <w:t xml:space="preserve"> </w:t>
      </w:r>
      <w:r>
        <w:t xml:space="preserve">— CPFormation</w:t>
      </w:r>
    </w:p>
    <w:p>
      <w:pPr>
        <w:pStyle w:val="BodyText"/>
      </w:pPr>
      <w:r>
        <w:t xml:space="preserve">Plusieurs acteurs de la formation linguistique, concurrents de longue date, lancent FEEL, un collectif destiné à porter une voix commune au secteur — dans un contexte de forte pression sur les certifications de langues au répertoire spécifique (plafonds CPF de la loi de finances 2026, débats sur l’éligibilité). Un signal de structuration des branches d’activité de la formation, après d’autres regroupements sectoriels.</w:t>
      </w:r>
    </w:p>
    <w:p>
      <w:pPr>
        <w:pStyle w:val="BodyText"/>
      </w:pPr>
      <w:r>
        <w:rPr>
          <w:iCs/>
          <w:i/>
        </w:rPr>
        <w:t xml:space="preserve">Impact pour l’organisme : si l’organisme propose des formations en langues, suivre les positions de FEEL (éligibilité CPF, certifications RS, qualité) ; plus largement, illustration de l’intérêt de la veille « branches et métiers » demandée par l’indicateur 23.</w:t>
      </w:r>
    </w:p>
    <w:p>
      <w:pPr>
        <w:pStyle w:val="BodyText"/>
      </w:pPr>
      <w:r>
        <w:t xml:space="preserve">Source :</w:t>
      </w:r>
      <w:r>
        <w:t xml:space="preserve"> </w:t>
      </w:r>
      <w:hyperlink r:id="rId38">
        <w:r>
          <w:rPr>
            <w:rStyle w:val="Hyperlink"/>
          </w:rPr>
          <w:t xml:space="preserve">https://cpformation.com/naissance-de-feel-la-formation-linguistique-se-dote-enfin-dune-voix/</w:t>
        </w:r>
      </w:hyperlink>
    </w:p>
    <w:bookmarkEnd w:id="39"/>
    <w:bookmarkStart w:id="41" w:name="X9ed1a4208155fd0e3a12be2d39292144de4b61a"/>
    <w:p>
      <w:pPr>
        <w:pStyle w:val="Heading3"/>
      </w:pPr>
      <w:r>
        <w:t xml:space="preserve">NPEC : positionnement des branches clos le 8 octobre — publication des valeurs définitives à surveiller</w:t>
      </w:r>
    </w:p>
    <w:p>
      <w:pPr>
        <w:pStyle w:val="FirstParagraph"/>
      </w:pPr>
      <w:r>
        <w:rPr>
          <w:bCs/>
          <w:b/>
        </w:rPr>
        <w:t xml:space="preserve">échéance passée le 08/10/2026</w:t>
      </w:r>
      <w:r>
        <w:t xml:space="preserve"> </w:t>
      </w:r>
      <w:r>
        <w:t xml:space="preserve">— France compétences</w:t>
      </w:r>
    </w:p>
    <w:p>
      <w:pPr>
        <w:pStyle w:val="BodyText"/>
      </w:pPr>
      <w:r>
        <w:t xml:space="preserve">La fenêtre de positionnement des branches sur les niveaux de prise en charge (NPEC) révisés des contrats d’apprentissage s’est refermée le 8 octobre (mécanisme du décret n° 2026-411 : un mois supplémentaire après recommandations modifiées). Les valeurs définitives alimenteront le référentiel unique des NPEC publié par France compétences (dernière version : septembre 2026).</w:t>
      </w:r>
    </w:p>
    <w:p>
      <w:pPr>
        <w:pStyle w:val="BodyText"/>
      </w:pPr>
      <w:r>
        <w:rPr>
          <w:iCs/>
          <w:i/>
        </w:rPr>
        <w:t xml:space="preserve">Impact pour l’organisme (si activité apprentissage) : surveiller la mise à jour du référentiel unique des NPEC et répercuter les nouvelles valeurs dans les budgets de contrats des prochaines campagnes.</w:t>
      </w:r>
    </w:p>
    <w:p>
      <w:pPr>
        <w:pStyle w:val="BodyText"/>
      </w:pPr>
      <w:r>
        <w:t xml:space="preserve">Source :</w:t>
      </w:r>
      <w:r>
        <w:t xml:space="preserve"> </w:t>
      </w:r>
      <w:hyperlink r:id="rId32">
        <w:r>
          <w:rPr>
            <w:rStyle w:val="Hyperlink"/>
          </w:rPr>
          <w:t xml:space="preserve">https://www.francecompetences.fr/</w:t>
        </w:r>
      </w:hyperlink>
      <w:r>
        <w:t xml:space="preserve"> </w:t>
      </w:r>
      <w:r>
        <w:t xml:space="preserve">•</w:t>
      </w:r>
      <w:r>
        <w:t xml:space="preserve"> </w:t>
      </w:r>
      <w:hyperlink r:id="rId40">
        <w:r>
          <w:rPr>
            <w:rStyle w:val="Hyperlink"/>
          </w:rPr>
          <w:t xml:space="preserve">https://www.centre-inffo.fr/site-droit-formation/actualites-droit/npec-apprentissage-un-mois-de-plus-pour-integrer-des-recommandations-modifiees</w:t>
        </w:r>
      </w:hyperlink>
    </w:p>
    <w:bookmarkEnd w:id="41"/>
    <w:bookmarkEnd w:id="42"/>
    <w:bookmarkStart w:id="48" w:name="X406fcec4051a43c8b194b898d8715cc68458b80"/>
    <w:p>
      <w:pPr>
        <w:pStyle w:val="Heading2"/>
      </w:pPr>
      <w:r>
        <w:t xml:space="preserve">3. Veille sur les innovations pédagogiques et technologiques (indicateurs 24-25)</w:t>
      </w:r>
    </w:p>
    <w:bookmarkStart w:id="44" w:name="Xd5cfe52a25d55e0e03dabc82c2eca025b145f30"/>
    <w:p>
      <w:pPr>
        <w:pStyle w:val="Heading3"/>
      </w:pPr>
      <w:r>
        <w:t xml:space="preserve">Learning Show 2026 (Rennes, 5-6 octobre) : l’IA questionne les modèles mêmes de la formation</w:t>
      </w:r>
    </w:p>
    <w:p>
      <w:pPr>
        <w:pStyle w:val="FirstParagraph"/>
      </w:pPr>
      <w:r>
        <w:rPr>
          <w:bCs/>
          <w:b/>
        </w:rPr>
        <w:t xml:space="preserve">05-06/10/2026 (compte rendu du 09/10)</w:t>
      </w:r>
      <w:r>
        <w:t xml:space="preserve"> </w:t>
      </w:r>
      <w:r>
        <w:t xml:space="preserve">— EdTech Actu / Learning Show</w:t>
      </w:r>
    </w:p>
    <w:p>
      <w:pPr>
        <w:pStyle w:val="BodyText"/>
      </w:pPr>
      <w:r>
        <w:t xml:space="preserve">La 9e édition du Learning Show a réuni près de 1 000 professionnels autour de 115 ateliers et 150 intervenants (keynote de Najat Vallaud-Belkacem sur l’addiction aux écrans). Enseignements principaux : l’IA est désormais partout dans la formation mais les niveaux de maturité restent très inégaux ; elle sert d’abord à réduire les tâches répétitives pour recentrer le formateur sur le feedback individuel et l’engagement de l’apprenant ; son adoption exige un cadre et une stratégie d’organisme (et un accompagnement des apprenants eux-mêmes) ; et les participants plaident pour repenser les modèles de formation « plutôt que d’y ajouter simplement des nouvelles technologies ». Le compte rendu pointe aussi la pression économique sur les prestataires (activité ralentie, financements publics en baisse, internalisation croissante de la formation par les entreprises).</w:t>
      </w:r>
    </w:p>
    <w:p>
      <w:pPr>
        <w:pStyle w:val="BodyText"/>
      </w:pPr>
      <w:r>
        <w:rPr>
          <w:iCs/>
          <w:i/>
        </w:rPr>
        <w:t xml:space="preserve">Impact pour l’organisme : alimenter la réflexion « IA et ingénierie pédagogique » (indicateurs 24-25) — prioriser les cas d’usage qui libèrent du temps formateur pour l’accompagnement individuel ; formaliser le cadre d’usage de l’IA de l’organisme (charte interne, transparence vis-à-vis des apprenants), déjà identifié comme preuve V10.</w:t>
      </w:r>
    </w:p>
    <w:p>
      <w:pPr>
        <w:pStyle w:val="BodyText"/>
      </w:pPr>
      <w:r>
        <w:t xml:space="preserve">Source :</w:t>
      </w:r>
      <w:r>
        <w:t xml:space="preserve"> </w:t>
      </w:r>
      <w:hyperlink r:id="rId43">
        <w:r>
          <w:rPr>
            <w:rStyle w:val="Hyperlink"/>
          </w:rPr>
          <w:t xml:space="preserve">https://edtechactu.com/digital-learning/au-learning-show-lia-questionne-les-modeles-de-formation</w:t>
        </w:r>
      </w:hyperlink>
    </w:p>
    <w:bookmarkEnd w:id="44"/>
    <w:bookmarkStart w:id="45" w:name="Xc416a7a1515627240ab338159b52939f2687479"/>
    <w:p>
      <w:pPr>
        <w:pStyle w:val="Heading3"/>
      </w:pPr>
      <w:r>
        <w:t xml:space="preserve">Compétences vertes : intégrer la transition écologique à son catalogue</w:t>
      </w:r>
    </w:p>
    <w:p>
      <w:pPr>
        <w:pStyle w:val="FirstParagraph"/>
      </w:pPr>
      <w:r>
        <w:rPr>
          <w:bCs/>
          <w:b/>
        </w:rPr>
        <w:t xml:space="preserve">08/10/2026</w:t>
      </w:r>
      <w:r>
        <w:t xml:space="preserve"> </w:t>
      </w:r>
      <w:r>
        <w:t xml:space="preserve">— Digiformag</w:t>
      </w:r>
    </w:p>
    <w:p>
      <w:pPr>
        <w:pStyle w:val="BodyText"/>
      </w:pPr>
      <w:r>
        <w:t xml:space="preserve">Guide pratique publié le 8 octobre sur l’intégration des compétences vertes et de la transition écologique dans un catalogue de formation : identification des besoins des branches, adaptation des référentiels et des contenus, positionnement de l’offre. Le sujet rejoint les attendus récents des certifications (cf. l’éco-conception dans les blocs du nouveau titre « Concepteur pédagogique digital » signalé en fiche 2026-05).</w:t>
      </w:r>
    </w:p>
    <w:p>
      <w:pPr>
        <w:pStyle w:val="BodyText"/>
      </w:pPr>
      <w:r>
        <w:rPr>
          <w:iCs/>
          <w:i/>
        </w:rPr>
        <w:t xml:space="preserve">Impact pour l’organisme : opportunité de développement d’offre et d’actualisation des contenus existants (indicateur 23 — évolution des métiers ; indicateurs 24-25 — innovation pédagogique) ; recenser les modules existants « verdissables » avant d’envisager de nouvelles certifications.</w:t>
      </w:r>
    </w:p>
    <w:p>
      <w:pPr>
        <w:pStyle w:val="BodyText"/>
      </w:pPr>
      <w:r>
        <w:t xml:space="preserve">Source :</w:t>
      </w:r>
      <w:r>
        <w:t xml:space="preserve"> </w:t>
      </w:r>
      <w:hyperlink r:id="rId29">
        <w:r>
          <w:rPr>
            <w:rStyle w:val="Hyperlink"/>
          </w:rPr>
          <w:t xml:space="preserve">https://www.digiformag.com/</w:t>
        </w:r>
      </w:hyperlink>
    </w:p>
    <w:bookmarkEnd w:id="45"/>
    <w:bookmarkStart w:id="47" w:name="Xc4a64c925f8f172e6080484f06a1d37141704ba"/>
    <w:p>
      <w:pPr>
        <w:pStyle w:val="Heading3"/>
      </w:pPr>
      <w:r>
        <w:t xml:space="preserve">Ressource : l’agenda digital learning &amp; IA d’octobre</w:t>
      </w:r>
    </w:p>
    <w:p>
      <w:pPr>
        <w:pStyle w:val="FirstParagraph"/>
      </w:pPr>
      <w:r>
        <w:rPr>
          <w:bCs/>
          <w:b/>
        </w:rPr>
        <w:t xml:space="preserve">rappel ressources — octobre 2026</w:t>
      </w:r>
      <w:r>
        <w:t xml:space="preserve"> </w:t>
      </w:r>
      <w:r>
        <w:t xml:space="preserve">— L’Atelier du Formateur</w:t>
      </w:r>
    </w:p>
    <w:p>
      <w:pPr>
        <w:pStyle w:val="BodyText"/>
      </w:pPr>
      <w:r>
        <w:t xml:space="preserve">L’agenda mensuel des événements digital learning et IA d’octobre (webinaires, salons, ateliers) reste une ressource gratuite de professionnalisation des équipes pédagogiques, en complément des Semaines de l’évolution professionnelle qui se poursuivent jusqu’au 16 octobre.</w:t>
      </w:r>
    </w:p>
    <w:p>
      <w:pPr>
        <w:pStyle w:val="BodyText"/>
      </w:pPr>
      <w:r>
        <w:rPr>
          <w:iCs/>
          <w:i/>
        </w:rPr>
        <w:t xml:space="preserve">Impact pour l’organisme : inscrire les webinaires pertinents au plan de professionnalisation (indicateurs 21-23) et archiver les attestations/replays comme preuves.</w:t>
      </w:r>
    </w:p>
    <w:p>
      <w:pPr>
        <w:pStyle w:val="BodyText"/>
      </w:pPr>
      <w:r>
        <w:t xml:space="preserve">Source :</w:t>
      </w:r>
      <w:r>
        <w:t xml:space="preserve"> </w:t>
      </w:r>
      <w:hyperlink r:id="rId46">
        <w:r>
          <w:rPr>
            <w:rStyle w:val="Hyperlink"/>
          </w:rPr>
          <w:t xml:space="preserve">https://latelierduformateur.fr/agenda-digital-learning-ia-en-octobre-2026/</w:t>
        </w:r>
      </w:hyperlink>
      <w:r>
        <w:t xml:space="preserve"> </w:t>
      </w:r>
      <w:r>
        <w:t xml:space="preserve">•</w:t>
      </w:r>
      <w:r>
        <w:t xml:space="preserve"> </w:t>
      </w:r>
      <w:hyperlink r:id="rId32">
        <w:r>
          <w:rPr>
            <w:rStyle w:val="Hyperlink"/>
          </w:rPr>
          <w:t xml:space="preserve">https://www.francecompetences.fr/</w:t>
        </w:r>
      </w:hyperlink>
    </w:p>
    <w:bookmarkEnd w:id="47"/>
    <w:bookmarkEnd w:id="48"/>
    <w:bookmarkStart w:id="53" w:name="X3f0859653963368d38d74fba3081e07a4da06c8"/>
    <w:p>
      <w:pPr>
        <w:pStyle w:val="Heading2"/>
      </w:pPr>
      <w:r>
        <w:t xml:space="preserve">4. Veille handicap et accessibilité (indicateur 26)</w:t>
      </w:r>
    </w:p>
    <w:p>
      <w:pPr>
        <w:pStyle w:val="FirstParagraph"/>
      </w:pPr>
      <w:r>
        <w:rPr>
          <w:iCs/>
          <w:i/>
        </w:rPr>
        <w:t xml:space="preserve">Volet réglementaire calme sur la période : aucun nouveau texte repéré entre le 6 et le 12 octobre. L’actualité reste la préparation de la SEEPH (16-22 novembre) et deux éléments issus de la toute fin de période précédente, non couverts par la fiche 2026-05.</w:t>
      </w:r>
    </w:p>
    <w:bookmarkStart w:id="50" w:name="Xbf92b783a50ede16418e1055427bda6eb8f6a33"/>
    <w:p>
      <w:pPr>
        <w:pStyle w:val="Heading3"/>
      </w:pPr>
      <w:r>
        <w:t xml:space="preserve">Webinaire Agefiph SEEPH du 6 octobre : le replay et le kit de communication sont la prochaine preuve à archiver</w:t>
      </w:r>
    </w:p>
    <w:p>
      <w:pPr>
        <w:pStyle w:val="FirstParagraph"/>
      </w:pPr>
      <w:r>
        <w:rPr>
          <w:bCs/>
          <w:b/>
        </w:rPr>
        <w:t xml:space="preserve">06/10/2026</w:t>
      </w:r>
      <w:r>
        <w:t xml:space="preserve"> </w:t>
      </w:r>
      <w:r>
        <w:t xml:space="preserve">— Agefiph</w:t>
      </w:r>
    </w:p>
    <w:p>
      <w:pPr>
        <w:pStyle w:val="BodyText"/>
      </w:pPr>
      <w:r>
        <w:t xml:space="preserve">La seconde et dernière session de préparation de la SEEPH 2026 (30e édition, 16-22 novembre, thème « Démystifier, simplifier, accompagner. L’emploi pour toutes et tous ») s’est tenue mardi 6 octobre sur la chaîne LinkedIn de l’Agefiph, avec présentation du thème national et mise à disposition du kit de communication (affiches personnalisables, contenus réseaux sociaux, animations de sensibilisation).</w:t>
      </w:r>
    </w:p>
    <w:p>
      <w:pPr>
        <w:pStyle w:val="BodyText"/>
      </w:pPr>
      <w:r>
        <w:rPr>
          <w:iCs/>
          <w:i/>
        </w:rPr>
        <w:t xml:space="preserve">Impact pour l’organisme : si le webinaire n’a pas été suivi en direct, visionner le replay et télécharger le kit ; finaliser le programme SEEPH de l’organisme et l’inscription DuoDay (19 novembre) — autant de preuves concrètes pour l’indicateur 26.</w:t>
      </w:r>
    </w:p>
    <w:p>
      <w:pPr>
        <w:pStyle w:val="BodyText"/>
      </w:pPr>
      <w:r>
        <w:t xml:space="preserve">Source :</w:t>
      </w:r>
      <w:r>
        <w:t xml:space="preserve"> </w:t>
      </w:r>
      <w:hyperlink r:id="rId49">
        <w:r>
          <w:rPr>
            <w:rStyle w:val="Hyperlink"/>
          </w:rPr>
          <w:t xml:space="preserve">https://www.agefiph.fr/actualites-handicap/seeph-2026-webinaires-les-10-septembre-et-6-octobre-pour-les-activateurs-de</w:t>
        </w:r>
      </w:hyperlink>
    </w:p>
    <w:bookmarkEnd w:id="50"/>
    <w:bookmarkStart w:id="52" w:name="Xadaf91b3e282514cc82bbd7c472aaf621739bf6"/>
    <w:p>
      <w:pPr>
        <w:pStyle w:val="Heading3"/>
      </w:pPr>
      <w:r>
        <w:t xml:space="preserve">Agefiph : appel à manifestation d’intérêt « Université, Emploi et Handicap » et alerte sécurité</w:t>
      </w:r>
    </w:p>
    <w:p>
      <w:pPr>
        <w:pStyle w:val="FirstParagraph"/>
      </w:pPr>
      <w:r>
        <w:rPr>
          <w:bCs/>
          <w:b/>
        </w:rPr>
        <w:t xml:space="preserve">01-02/10/2026</w:t>
      </w:r>
      <w:r>
        <w:t xml:space="preserve"> </w:t>
      </w:r>
      <w:r>
        <w:t xml:space="preserve">— Agefiph (rattrapage période précédente)</w:t>
      </w:r>
    </w:p>
    <w:p>
      <w:pPr>
        <w:pStyle w:val="BodyText"/>
      </w:pPr>
      <w:r>
        <w:t xml:space="preserve">Deux publications de l’Agefiph de début octobre à signaler : l’ouverture, le 1er octobre, de l’appel à manifestation d’intérêt « Université, Emploi et Handicap » (soutien aux initiatives facilitant l’accès des étudiants en situation de handicap à l’emploi) ; et une information du 2 octobre relative à un incident de sécurité touchant l’Agefiph — vigilance accrue recommandée face aux courriels ou appels se réclamant de l’organisme.</w:t>
      </w:r>
    </w:p>
    <w:p>
      <w:pPr>
        <w:pStyle w:val="BodyText"/>
      </w:pPr>
      <w:r>
        <w:rPr>
          <w:iCs/>
          <w:i/>
        </w:rPr>
        <w:t xml:space="preserve">Impact pour l’organisme : examiner l’opportunité de candidater à l’AMI si l’organisme intervient auprès de publics étudiants ou en partenariat avec l’enseignement supérieur ; sensibiliser les équipes (référent handicap, administratif) au risque de phishing usurpant l’Agefiph — ne pas communiquer d’informations sur sollicitation non vérifiée.</w:t>
      </w:r>
    </w:p>
    <w:p>
      <w:pPr>
        <w:pStyle w:val="BodyText"/>
      </w:pPr>
      <w:r>
        <w:t xml:space="preserve">Source :</w:t>
      </w:r>
      <w:r>
        <w:t xml:space="preserve"> </w:t>
      </w:r>
      <w:hyperlink r:id="rId51">
        <w:r>
          <w:rPr>
            <w:rStyle w:val="Hyperlink"/>
          </w:rPr>
          <w:t xml:space="preserve">https://www.agefiph.fr/</w:t>
        </w:r>
      </w:hyperlink>
    </w:p>
    <w:bookmarkEnd w:id="52"/>
    <w:bookmarkEnd w:id="53"/>
    <w:bookmarkStart w:id="54"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rPr>
                <w:bCs/>
                <w:b/>
              </w:rPr>
              <w:t xml:space="preserve">13 oct. 2026</w:t>
            </w:r>
          </w:p>
        </w:tc>
        <w:tc>
          <w:tcPr/>
          <w:p>
            <w:pPr>
              <w:pStyle w:val="Compact"/>
              <w:jc w:val="left"/>
            </w:pPr>
            <w:r>
              <w:rPr>
                <w:bCs/>
                <w:b/>
              </w:rPr>
              <w:t xml:space="preserve">Ouverture des débats en séance publique à l’Assemblée nationale sur le PLF 2027 (art. 89 : CPF, Cufpa, France compétences)</w:t>
            </w:r>
          </w:p>
        </w:tc>
      </w:tr>
      <w:tr>
        <w:tc>
          <w:tcPr/>
          <w:p>
            <w:pPr>
              <w:pStyle w:val="Compact"/>
              <w:jc w:val="left"/>
            </w:pPr>
            <w:r>
              <w:rPr>
                <w:bCs/>
                <w:b/>
              </w:rPr>
              <w:t xml:space="preserve">semaine du 12 oct. 2026</w:t>
            </w:r>
          </w:p>
        </w:tc>
        <w:tc>
          <w:tcPr/>
          <w:p>
            <w:pPr>
              <w:pStyle w:val="Compact"/>
              <w:jc w:val="left"/>
            </w:pPr>
            <w:r>
              <w:rPr>
                <w:bCs/>
                <w:b/>
              </w:rPr>
              <w:t xml:space="preserve">Dépôt annoncé du référé des Acteurs de la Compétence et du Synofdes devant le Conseil d’État (bandeaux CPF « 200 € »)</w:t>
            </w:r>
          </w:p>
        </w:tc>
      </w:tr>
      <w:tr>
        <w:tc>
          <w:tcPr/>
          <w:p>
            <w:pPr>
              <w:pStyle w:val="Compact"/>
              <w:jc w:val="left"/>
            </w:pPr>
            <w:r>
              <w:t xml:space="preserve">16 oct. 2026</w:t>
            </w:r>
          </w:p>
        </w:tc>
        <w:tc>
          <w:tcPr/>
          <w:p>
            <w:pPr>
              <w:pStyle w:val="Compact"/>
              <w:jc w:val="left"/>
            </w:pPr>
            <w:r>
              <w:t xml:space="preserve">Fin des Semaines de l’évolution professionnelle (webinaires gratuits)</w:t>
            </w:r>
          </w:p>
        </w:tc>
      </w:tr>
      <w:tr>
        <w:tc>
          <w:tcPr/>
          <w:p>
            <w:pPr>
              <w:pStyle w:val="Compact"/>
              <w:jc w:val="left"/>
            </w:pPr>
            <w:r>
              <w:rPr>
                <w:bCs/>
                <w:b/>
              </w:rPr>
              <w:t xml:space="preserve">22 oct. 2026</w:t>
            </w:r>
          </w:p>
        </w:tc>
        <w:tc>
          <w:tcPr/>
          <w:p>
            <w:pPr>
              <w:pStyle w:val="Compact"/>
              <w:jc w:val="left"/>
            </w:pPr>
            <w:r>
              <w:rPr>
                <w:bCs/>
                <w:b/>
              </w:rPr>
              <w:t xml:space="preserve">Date limite : blocs de compétences RNCP sur EDOF (saisie manuelle ou import XML mis à jour) — sinon retrait du moteur de recherche MCF</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rPr>
                <w:bCs/>
                <w:b/>
              </w:rPr>
              <w:t xml:space="preserve">1er nov. 2026</w:t>
            </w:r>
          </w:p>
        </w:tc>
        <w:tc>
          <w:tcPr/>
          <w:p>
            <w:pPr>
              <w:pStyle w:val="Compact"/>
              <w:jc w:val="left"/>
            </w:pPr>
            <w:r>
              <w:rPr>
                <w:bCs/>
                <w:b/>
              </w:rPr>
              <w:t xml:space="preserve">Entrée en vigueur du référentiel Qualiopi à 33 indicateurs (décret n° 2026-728) — guide V10 et arrêtés ind. 19-20 toujours non publiés au 10 oct.</w:t>
            </w:r>
          </w:p>
        </w:tc>
      </w:tr>
      <w:tr>
        <w:tc>
          <w:tcPr/>
          <w:p>
            <w:pPr>
              <w:pStyle w:val="Compact"/>
              <w:jc w:val="left"/>
            </w:pPr>
            <w:r>
              <w:t xml:space="preserve">16-22 nov. 2026</w:t>
            </w:r>
          </w:p>
        </w:tc>
        <w:tc>
          <w:tcPr/>
          <w:p>
            <w:pPr>
              <w:pStyle w:val="Compact"/>
              <w:jc w:val="left"/>
            </w:pPr>
            <w:r>
              <w:t xml:space="preserve">SEEPH 2026 (30e édition) — kit de communication disponible</w:t>
            </w:r>
          </w:p>
        </w:tc>
      </w:tr>
      <w:tr>
        <w:tc>
          <w:tcPr/>
          <w:p>
            <w:pPr>
              <w:pStyle w:val="Compact"/>
              <w:jc w:val="left"/>
            </w:pPr>
            <w:r>
              <w:t xml:space="preserve">19 nov. 2026</w:t>
            </w:r>
          </w:p>
        </w:tc>
        <w:tc>
          <w:tcPr/>
          <w:p>
            <w:pPr>
              <w:pStyle w:val="Compact"/>
              <w:jc w:val="left"/>
            </w:pPr>
            <w:r>
              <w:t xml:space="preserve">DuoDay 2026 (inscriptions ouvertes)</w:t>
            </w:r>
          </w:p>
        </w:tc>
      </w:tr>
      <w:tr>
        <w:tc>
          <w:tcPr/>
          <w:p>
            <w:pPr>
              <w:pStyle w:val="Compact"/>
              <w:jc w:val="left"/>
            </w:pPr>
            <w:r>
              <w:t xml:space="preserve">Déc. 2026</w:t>
            </w:r>
          </w:p>
        </w:tc>
        <w:tc>
          <w:tcPr/>
          <w:p>
            <w:pPr>
              <w:pStyle w:val="Compact"/>
              <w:jc w:val="left"/>
            </w:pPr>
            <w:r>
              <w:t xml:space="preserve">Vote final du PLF 2027 (CPF, Cufpa, Pric, apprentissage)</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r>
        <w:tc>
          <w:tcPr/>
          <w:p>
            <w:pPr>
              <w:pStyle w:val="Compact"/>
              <w:jc w:val="left"/>
            </w:pPr>
            <w:r>
              <w:t xml:space="preserve">2027</w:t>
            </w:r>
          </w:p>
        </w:tc>
        <w:tc>
          <w:tcPr/>
          <w:p>
            <w:pPr>
              <w:pStyle w:val="Compact"/>
              <w:jc w:val="left"/>
            </w:pPr>
            <w:r>
              <w:t xml:space="preserve">Appel du complément de participation CPF (jusqu’à 200 €) pour les dossiers validés depuis le 2 oct. 2026, sous réserve du vote du PLF et de l’issue du référé</w:t>
            </w:r>
          </w:p>
        </w:tc>
      </w:tr>
      <w:tr>
        <w:tc>
          <w:tcPr/>
          <w:p>
            <w:pPr>
              <w:pStyle w:val="Compact"/>
              <w:jc w:val="left"/>
            </w:pPr>
            <w:r>
              <w:t xml:space="preserve">1er janv. 2028</w:t>
            </w:r>
          </w:p>
        </w:tc>
        <w:tc>
          <w:tcPr/>
          <w:p>
            <w:pPr>
              <w:pStyle w:val="Compact"/>
              <w:jc w:val="left"/>
            </w:pPr>
            <w:r>
              <w:t xml:space="preserve">Entrée en vigueur prévue du « questionnaire de projet » CPF (art. 89 PLF 2027, si voté)</w:t>
            </w:r>
          </w:p>
        </w:tc>
      </w:tr>
    </w:tbl>
    <w:bookmarkEnd w:id="54"/>
    <w:bookmarkStart w:id="55" w:name="actions-à-prévoir"/>
    <w:p>
      <w:pPr>
        <w:pStyle w:val="Heading2"/>
      </w:pPr>
      <w:r>
        <w:t xml:space="preserve">6. Actions à prévoir</w:t>
      </w:r>
    </w:p>
    <w:p>
      <w:pPr>
        <w:numPr>
          <w:ilvl w:val="0"/>
          <w:numId w:val="1001"/>
        </w:numPr>
        <w:pStyle w:val="Compact"/>
      </w:pPr>
      <w:r>
        <w:rPr>
          <w:bCs/>
          <w:b/>
        </w:rPr>
        <w:t xml:space="preserve">Dès cette semaine</w:t>
      </w:r>
      <w:r>
        <w:t xml:space="preserve"> </w:t>
      </w:r>
      <w:r>
        <w:t xml:space="preserve">: mettre en place une alerte sur l’issue du référé Conseil d’État (bandeaux CPF) et sur les débats PLF 2027 ouverts le 13 octobre — le discours commercial CPF devra être ajusté dans les deux sens (retrait des bandeaux ou confirmation du complément).</w:t>
      </w:r>
    </w:p>
    <w:p>
      <w:pPr>
        <w:numPr>
          <w:ilvl w:val="0"/>
          <w:numId w:val="1001"/>
        </w:numPr>
        <w:pStyle w:val="Compact"/>
      </w:pPr>
      <w:r>
        <w:rPr>
          <w:bCs/>
          <w:b/>
        </w:rPr>
        <w:t xml:space="preserve">Avant le 22 octobre (urgent)</w:t>
      </w:r>
      <w:r>
        <w:t xml:space="preserve"> </w:t>
      </w:r>
      <w:r>
        <w:t xml:space="preserve">: finaliser la saisie des blocs de compétences RNCP sur EDOF (ou l’import XML mis à jour) — dernière ligne droite.</w:t>
      </w:r>
    </w:p>
    <w:p>
      <w:pPr>
        <w:numPr>
          <w:ilvl w:val="0"/>
          <w:numId w:val="1001"/>
        </w:numPr>
        <w:pStyle w:val="Compact"/>
      </w:pPr>
      <w:r>
        <w:t xml:space="preserve">Poursuivre l’auto-diagnostic Qualiopi V10 sur la base du décret ; lire l’interview Certifopac du 6 octobre pour prioriser (hors CFA : concentrer l’effort sur allégations publiques, sous-traitance, traçabilité du distanciel) ; maintenir la vérification hebdomadaire du guide de lecture et des arrêtés ind. 19-20.</w:t>
      </w:r>
    </w:p>
    <w:p>
      <w:pPr>
        <w:numPr>
          <w:ilvl w:val="0"/>
          <w:numId w:val="1001"/>
        </w:numPr>
        <w:pStyle w:val="Compact"/>
      </w:pPr>
      <w:r>
        <w:t xml:space="preserve">Mettre à jour le tableau de suivi des certifications avec la délibération France compétences de septembre et les analyses publiées le 10 octobre.</w:t>
      </w:r>
    </w:p>
    <w:p>
      <w:pPr>
        <w:numPr>
          <w:ilvl w:val="0"/>
          <w:numId w:val="1001"/>
        </w:numPr>
        <w:pStyle w:val="Compact"/>
      </w:pPr>
      <w:r>
        <w:t xml:space="preserve">Si activité apprentissage : surveiller la publication des NPEC définitifs (positionnement des branches clos le 8 octobre) et ajuster les budgets de contrats.</w:t>
      </w:r>
    </w:p>
    <w:p>
      <w:pPr>
        <w:numPr>
          <w:ilvl w:val="0"/>
          <w:numId w:val="1001"/>
        </w:numPr>
        <w:pStyle w:val="Compact"/>
      </w:pPr>
      <w:r>
        <w:t xml:space="preserve">Interroger les OPCO partenaires sur les accords émis depuis le 1er octobre (subrogation, TVA) si ce n’est pas encore fait ; noter l’approbation du nouveau modèle de convention France compétences/OPCO.</w:t>
      </w:r>
    </w:p>
    <w:p>
      <w:pPr>
        <w:numPr>
          <w:ilvl w:val="0"/>
          <w:numId w:val="1001"/>
        </w:numPr>
        <w:pStyle w:val="Compact"/>
      </w:pPr>
      <w:r>
        <w:t xml:space="preserve">SEEPH : visionner le replay du webinaire Agefiph du 6 octobre, récupérer le kit, finaliser le programme et l’inscription DuoDay ; archiver ces éléments comme preuves (indicateur 26).</w:t>
      </w:r>
    </w:p>
    <w:p>
      <w:pPr>
        <w:numPr>
          <w:ilvl w:val="0"/>
          <w:numId w:val="1001"/>
        </w:numPr>
        <w:pStyle w:val="Compact"/>
      </w:pPr>
      <w:r>
        <w:t xml:space="preserve">Sensibiliser les équipes au risque de phishing usurpant l’Agefiph (incident de sécurité signalé le 2 octobre).</w:t>
      </w:r>
    </w:p>
    <w:p>
      <w:pPr>
        <w:numPr>
          <w:ilvl w:val="0"/>
          <w:numId w:val="1001"/>
        </w:numPr>
        <w:pStyle w:val="Compact"/>
      </w:pPr>
      <w:r>
        <w:t xml:space="preserve">Étudier l’intégration de compétences vertes au catalogue (guide Digiformag du 8 octobre) et poursuivre la formalisation de la charte IA interne (enseignements du Learning Show).</w:t>
      </w:r>
    </w:p>
    <w:p>
      <w:pPr>
        <w:numPr>
          <w:ilvl w:val="0"/>
          <w:numId w:val="1001"/>
        </w:numPr>
        <w:pStyle w:val="Compact"/>
      </w:pPr>
      <w:r>
        <w:t xml:space="preserve">Archiver la présente fiche dans le classeur « Veille » et tracer en réunion les décisions prises à sa lecture (preuve d’exploitation de la veille).</w:t>
      </w:r>
    </w:p>
    <w:bookmarkEnd w:id="55"/>
    <w:bookmarkStart w:id="56" w:name="méthodologie-et-sources"/>
    <w:p>
      <w:pPr>
        <w:pStyle w:val="Heading2"/>
      </w:pPr>
      <w:r>
        <w:t xml:space="preserve">Méthodologie et sources</w:t>
      </w:r>
    </w:p>
    <w:p>
      <w:pPr>
        <w:pStyle w:val="FirstParagraph"/>
      </w:pPr>
      <w:r>
        <w:t xml:space="preserve">Veille réalisée le 12 octobre 2026 par recherche systématique sur les sources officielles et professionnelles : France compétences (publications et actualités officielles), Caisse des Dépôts / Mon Compte Formation et portail EDOF, ministère du Travail (page « Référentiel national qualité »), Agefiph, presse et blogs spécialisés (CPFormation, AEF info, Digiformag, Certiforma, EdTech Actu, L’Atelier du Formateur, blog Benjamin Duplaa). Chaque information est datée et accompagnée de l’URL de sa source. Notes : à la suite de la liquidation judiciaire de Centre Inffo (juillet 2026), le « Quotidien de la formation » n’alimente plus la veille (une référence d’archive Centre Inffo de juin 2026 est citée pour le mécanisme NPEC) ; la dépêche AEF du début de période (réforme CPF rétroactive au 1er octobre, jusqu’à 30 % de renoncements) n’a pu être consultée qu’au niveau de son titre (accès abonnés) ; le statut « non publié » du guide de lecture V10 et des arrêtés indicateurs 19-20 repose sur la vérification de sources secondaires au 10 octobre, l’accès direct à la page ministérielle restant entravé.</w:t>
      </w:r>
    </w:p>
    <w:p>
      <w:pPr>
        <w:pStyle w:val="BodyText"/>
      </w:pPr>
      <w:r>
        <w:rPr>
          <w:iCs/>
          <w:i/>
        </w:rPr>
        <w:t xml:space="preserve">Fiche générée et archivée automatiquement — veille Qualiopi critère 6.</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ertiforma.fr/qualiopi-v10/" TargetMode="External" /><Relationship Type="http://schemas.openxmlformats.org/officeDocument/2006/relationships/hyperlink" Id="rId23" Target="https://cpformation.com/arretons-de-massacrer-le-cpf-le-medef-rejoint-la-fronde-contre-le-plf-2027/" TargetMode="External" /><Relationship Type="http://schemas.openxmlformats.org/officeDocument/2006/relationships/hyperlink" Id="rId21" Target="https://cpformation.com/bandeau-cpf-une-loi-qui-nexiste-pas-la-filiere-saisit-le-conseil-detat/" TargetMode="External" /><Relationship Type="http://schemas.openxmlformats.org/officeDocument/2006/relationships/hyperlink" Id="rId24" Target="https://cpformation.com/cufpa-11-milliard-deuros-des-entreprises-vers-le-budget-de-letat-le-medef-interroge-sa-place-a-france-competences/" TargetMode="External" /><Relationship Type="http://schemas.openxmlformats.org/officeDocument/2006/relationships/hyperlink" Id="rId38" Target="https://cpformation.com/naissance-de-feel-la-formation-linguistique-se-dote-enfin-dune-voix/" TargetMode="External" /><Relationship Type="http://schemas.openxmlformats.org/officeDocument/2006/relationships/hyperlink" Id="rId26" Target="https://cpformation.com/plf-2027-et-cpf-a-350-e-loi-decret-arrete-qui-decide-vraiment-quoi/" TargetMode="External" /><Relationship Type="http://schemas.openxmlformats.org/officeDocument/2006/relationships/hyperlink" Id="rId43" Target="https://edtechactu.com/digital-learning/au-learning-show-lia-questionne-les-modeles-de-formation" TargetMode="External" /><Relationship Type="http://schemas.openxmlformats.org/officeDocument/2006/relationships/hyperlink" Id="rId46" Target="https://latelierduformateur.fr/agenda-digital-learning-ia-en-octobre-2026/" TargetMode="External" /><Relationship Type="http://schemas.openxmlformats.org/officeDocument/2006/relationships/hyperlink" Id="rId30" Target="https://travail-emploi.gouv.fr/referentiel-national-qualite-guide-de-lecture-qualiopi" TargetMode="External" /><Relationship Type="http://schemas.openxmlformats.org/officeDocument/2006/relationships/hyperlink" Id="rId25" Target="https://www.aefinfo.fr/depeche/757956" TargetMode="External" /><Relationship Type="http://schemas.openxmlformats.org/officeDocument/2006/relationships/hyperlink" Id="rId51" Target="https://www.agefiph.fr/" TargetMode="External" /><Relationship Type="http://schemas.openxmlformats.org/officeDocument/2006/relationships/hyperlink" Id="rId49" Target="https://www.agefiph.fr/actualites-handicap/seeph-2026-webinaires-les-10-septembre-et-6-octobre-pour-les-activateurs-de" TargetMode="External" /><Relationship Type="http://schemas.openxmlformats.org/officeDocument/2006/relationships/hyperlink" Id="rId35" Target="https://www.benjaminduplaa.com/blog/actualite-formation-professionnelle" TargetMode="External" /><Relationship Type="http://schemas.openxmlformats.org/officeDocument/2006/relationships/hyperlink" Id="rId40" Target="https://www.centre-inffo.fr/site-droit-formation/actualites-droit/npec-apprentissage-un-mois-de-plus-pour-integrer-des-recommandations-modifiees" TargetMode="External" /><Relationship Type="http://schemas.openxmlformats.org/officeDocument/2006/relationships/hyperlink" Id="rId29" Target="https://www.digiformag.com/" TargetMode="External" /><Relationship Type="http://schemas.openxmlformats.org/officeDocument/2006/relationships/hyperlink" Id="rId32" Target="https://www.francecompetences.fr/" TargetMode="External" /><Relationship Type="http://schemas.openxmlformats.org/officeDocument/2006/relationships/hyperlink" Id="rId36" Target="https://www.francecompetences.fr/deliberation-de-la-commission-de-la-certification-professionnelle/" TargetMode="External" /></Relationships>
</file>

<file path=word/_rels/footnotes.xml.rels><?xml version="1.0" encoding="UTF-8"?><Relationships xmlns="http://schemas.openxmlformats.org/package/2006/relationships"><Relationship Type="http://schemas.openxmlformats.org/officeDocument/2006/relationships/hyperlink" Id="rId28" Target="https://certiforma.fr/qualiopi-v10/" TargetMode="External" /><Relationship Type="http://schemas.openxmlformats.org/officeDocument/2006/relationships/hyperlink" Id="rId23" Target="https://cpformation.com/arretons-de-massacrer-le-cpf-le-medef-rejoint-la-fronde-contre-le-plf-2027/" TargetMode="External" /><Relationship Type="http://schemas.openxmlformats.org/officeDocument/2006/relationships/hyperlink" Id="rId21" Target="https://cpformation.com/bandeau-cpf-une-loi-qui-nexiste-pas-la-filiere-saisit-le-conseil-detat/" TargetMode="External" /><Relationship Type="http://schemas.openxmlformats.org/officeDocument/2006/relationships/hyperlink" Id="rId24" Target="https://cpformation.com/cufpa-11-milliard-deuros-des-entreprises-vers-le-budget-de-letat-le-medef-interroge-sa-place-a-france-competences/" TargetMode="External" /><Relationship Type="http://schemas.openxmlformats.org/officeDocument/2006/relationships/hyperlink" Id="rId38" Target="https://cpformation.com/naissance-de-feel-la-formation-linguistique-se-dote-enfin-dune-voix/" TargetMode="External" /><Relationship Type="http://schemas.openxmlformats.org/officeDocument/2006/relationships/hyperlink" Id="rId26" Target="https://cpformation.com/plf-2027-et-cpf-a-350-e-loi-decret-arrete-qui-decide-vraiment-quoi/" TargetMode="External" /><Relationship Type="http://schemas.openxmlformats.org/officeDocument/2006/relationships/hyperlink" Id="rId43" Target="https://edtechactu.com/digital-learning/au-learning-show-lia-questionne-les-modeles-de-formation" TargetMode="External" /><Relationship Type="http://schemas.openxmlformats.org/officeDocument/2006/relationships/hyperlink" Id="rId46" Target="https://latelierduformateur.fr/agenda-digital-learning-ia-en-octobre-2026/" TargetMode="External" /><Relationship Type="http://schemas.openxmlformats.org/officeDocument/2006/relationships/hyperlink" Id="rId30" Target="https://travail-emploi.gouv.fr/referentiel-national-qualite-guide-de-lecture-qualiopi" TargetMode="External" /><Relationship Type="http://schemas.openxmlformats.org/officeDocument/2006/relationships/hyperlink" Id="rId25" Target="https://www.aefinfo.fr/depeche/757956" TargetMode="External" /><Relationship Type="http://schemas.openxmlformats.org/officeDocument/2006/relationships/hyperlink" Id="rId51" Target="https://www.agefiph.fr/" TargetMode="External" /><Relationship Type="http://schemas.openxmlformats.org/officeDocument/2006/relationships/hyperlink" Id="rId49" Target="https://www.agefiph.fr/actualites-handicap/seeph-2026-webinaires-les-10-septembre-et-6-octobre-pour-les-activateurs-de" TargetMode="External" /><Relationship Type="http://schemas.openxmlformats.org/officeDocument/2006/relationships/hyperlink" Id="rId35" Target="https://www.benjaminduplaa.com/blog/actualite-formation-professionnelle" TargetMode="External" /><Relationship Type="http://schemas.openxmlformats.org/officeDocument/2006/relationships/hyperlink" Id="rId40" Target="https://www.centre-inffo.fr/site-droit-formation/actualites-droit/npec-apprentissage-un-mois-de-plus-pour-integrer-des-recommandations-modifiees" TargetMode="External" /><Relationship Type="http://schemas.openxmlformats.org/officeDocument/2006/relationships/hyperlink" Id="rId29" Target="https://www.digiformag.com/" TargetMode="External" /><Relationship Type="http://schemas.openxmlformats.org/officeDocument/2006/relationships/hyperlink" Id="rId32" Target="https://www.francecompetences.fr/" TargetMode="External" /><Relationship Type="http://schemas.openxmlformats.org/officeDocument/2006/relationships/hyperlink" Id="rId36" Target="https://www.francecompetences.fr/deliberation-de-la-commission-de-la-certification-professionnel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2026-10-26T05:16:49Z</dcterms:created>
  <dcterms:modified xsi:type="dcterms:W3CDTF">2026-10-26T05:16:49Z</dcterms:modified>
</cp:coreProperties>
</file>

<file path=docProps/custom.xml><?xml version="1.0" encoding="utf-8"?>
<Properties xmlns="http://schemas.openxmlformats.org/officeDocument/2006/custom-properties" xmlns:vt="http://schemas.openxmlformats.org/officeDocument/2006/docPropsVTypes"/>
</file>