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fiche-de-veille-qualiopi-critère-6"/>
    <w:p>
      <w:pPr>
        <w:pStyle w:val="Heading1"/>
      </w:pPr>
      <w:r>
        <w:t xml:space="preserve">FICHE DE VEILLE — QUALIOPI CRITÈRE 6</w:t>
      </w:r>
    </w:p>
    <w:p>
      <w:pPr>
        <w:pStyle w:val="FirstParagraph"/>
      </w:pPr>
      <w:r>
        <w:rPr>
          <w:iCs/>
          <w:i/>
        </w:rPr>
        <w:t xml:space="preserve">Veille légale, réglementaire, métiers, pédagogique et handicap (indicateurs 23 à 26)</w:t>
      </w:r>
    </w:p>
    <w:p>
      <w:pPr>
        <w:pStyle w:val="BodyText"/>
      </w:pPr>
      <w:r>
        <w:rPr>
          <w:bCs/>
          <w:b/>
        </w:rPr>
        <w:t xml:space="preserve">Fiche n° 2026-07 • Réalisée le 19 octobre 2026 • Période couverte : 13 – 19 octobre 2026</w:t>
      </w:r>
    </w:p>
    <w:p>
      <w:pPr>
        <w:pStyle w:val="BodyText"/>
      </w:pPr>
      <w:r>
        <w:rPr>
          <w:bCs/>
          <w:b/>
        </w:rPr>
        <w:t xml:space="preserve">Organisme :</w:t>
      </w:r>
      <w:r>
        <w:t xml:space="preserve"> </w:t>
      </w:r>
      <w:r>
        <w:t xml:space="preserve">________________________</w:t>
      </w:r>
      <w:r>
        <w:t xml:space="preserve"> </w:t>
      </w:r>
      <w:r>
        <w:rPr>
          <w:bCs/>
          <w:b/>
        </w:rPr>
        <w:t xml:space="preserve">Visa du responsable :</w:t>
      </w:r>
      <w:r>
        <w:t xml:space="preserve"> </w:t>
      </w:r>
      <w:r>
        <w:t xml:space="preserve">____________</w:t>
      </w:r>
    </w:p>
    <w:bookmarkStart w:id="20" w:name="à-la-une-le-fait-marquant-de-la-période"/>
    <w:p>
      <w:pPr>
        <w:pStyle w:val="Heading2"/>
      </w:pPr>
      <w:r>
        <w:t xml:space="preserve">À la une — le fait marquant de la période</w:t>
      </w:r>
    </w:p>
    <w:p>
      <w:pPr>
        <w:pStyle w:val="FirstParagraph"/>
      </w:pPr>
      <w:r>
        <w:rPr>
          <w:bCs/>
          <w:b/>
        </w:rPr>
        <w:t xml:space="preserve">CPF : le front contre l’article 89 du PLF 2027 s’élargit aux trois confédérations syndicales, et le calendrier parlementaire se précise — l’article sera examiné en séance entre le 27 octobre et le 16 novembre.</w:t>
      </w:r>
      <w:r>
        <w:t xml:space="preserve"> </w:t>
      </w:r>
      <w:r>
        <w:t xml:space="preserve">Selon CPFormation (17 octobre), FO, la CGT et la CFDT ont publié des positions convergentes contre la réforme du CPF (reste à charge pouvant atteindre 350 €, régulation des formations « non prioritaires », rétroactivité aux demandes faites depuis le 1er octobre), rejoignant le Medef, Les Acteurs de la Compétence, le Synofdes et la région Occitanie. Le gouvernement estime que 65 % des dossiers CPF ne relèvent ni d’un métier en tension ni d’un secteur prioritaire et retient des hypothèses budgétaires de renoncement de 23 % (demandeurs d’emploi) et 30 % (autres actifs). La CGT appelle à une journée de mobilisation le 5 novembre. Le référé contre les « bandeaux 200 € » de Mon Compte Formation, annoncé par les fédérations d’organismes de formation (dépêche AEF du 14 octobre), n’avait pas donné lieu à une ordonnance connue au 19 octobre. Pendant ce temps, à J-13 de l’entrée en vigueur du référentiel Qualiopi à 33 indicateurs, ni le guide de lecture V10 ni les arrêtés des indicateurs 19-20 n’étaient publiés (vérification au 18 octobre).</w:t>
      </w:r>
    </w:p>
    <w:bookmarkEnd w:id="20"/>
    <w:bookmarkStart w:id="33" w:name="X5876ee4bbe0bd103dff81c4f15b870aca873b7a"/>
    <w:p>
      <w:pPr>
        <w:pStyle w:val="Heading2"/>
      </w:pPr>
      <w:r>
        <w:t xml:space="preserve">1. Veille légale et réglementaire (indicateur 23)</w:t>
      </w:r>
    </w:p>
    <w:bookmarkStart w:id="22" w:name="Xb3a66f3925d62d75cd27acd1a52ab4a1ff8b44b"/>
    <w:p>
      <w:pPr>
        <w:pStyle w:val="Heading3"/>
      </w:pPr>
      <w:r>
        <w:t xml:space="preserve">PLF 2027 / CPF : syndicats, patronat et organismes de formation — le front contre l’article 89 s’élargit, examen en séance du 27 octobre au 16 novembre</w:t>
      </w:r>
    </w:p>
    <w:p>
      <w:pPr>
        <w:pStyle w:val="FirstParagraph"/>
      </w:pPr>
      <w:r>
        <w:rPr>
          <w:bCs/>
          <w:b/>
        </w:rPr>
        <w:t xml:space="preserve">17/10/2026</w:t>
      </w:r>
      <w:r>
        <w:t xml:space="preserve"> </w:t>
      </w:r>
      <w:r>
        <w:t xml:space="preserve">— CPFormation</w:t>
      </w:r>
    </w:p>
    <w:p>
      <w:pPr>
        <w:pStyle w:val="BodyText"/>
      </w:pPr>
      <w:r>
        <w:t xml:space="preserve">FO, la CGT et la CFDT ont publié des positions convergentes contre l’article 89 du PLF 2027 (texte n° 3210 déposé le 1er octobre), rejoignant le Medef, Les Acteurs de la Compétence, le Synofdes et la région Occitanie. Griefs principaux : absence de concertation préalable, reste à charge pouvant atteindre 350 € (FO), sort réservé aux demandeurs d’emploi, 350 M€ d’économies attendues (CGT), et rétroactivité aux demandes déposées depuis le 1er octobre, avant même le vote. Éléments gouvernementaux rapportés : 65 % des dossiers CPF ne relèveraient ni d’un métier en tension ni d’un secteur prioritaire ; hypothèses budgétaires de renoncement de 23 % pour les demandeurs d’emploi (≈ 150 M€) et 30 % pour les autres actifs (≈ 200 M€) ; lors d’une réunion du 6 octobre, le ministère aurait qualifié les formations non prioritaires de « formations de confort » (selon la CGT). La liste des certifications prioritaires serait fixée par arrêté après consultation des partenaires sociaux. Calendrier : examen en séance de la seconde partie du PLF (dont l’article 89) du 27 octobre au 16 novembre ; journée de mobilisation CGT le 5 novembre.</w:t>
      </w:r>
    </w:p>
    <w:p>
      <w:pPr>
        <w:pStyle w:val="BodyText"/>
      </w:pPr>
      <w:r>
        <w:rPr>
          <w:iCs/>
          <w:i/>
        </w:rPr>
        <w:t xml:space="preserve">Impact pour l’organisme : la fenêtre décisive pour l’avenir du CPF s’ouvre le 27 octobre — suivre les amendements (rétroactivité, demandeurs d’emploi, suppression) avant de figer les hypothèses budgétaires 2027 ; maintenir l’information transparente des stagiaires sur le complément éventuel (critère 1) et tracer ce suivi dans le registre de veille (preuve indicateur 23).</w:t>
      </w:r>
    </w:p>
    <w:p>
      <w:pPr>
        <w:pStyle w:val="BodyText"/>
      </w:pPr>
      <w:r>
        <w:t xml:space="preserve">Source :</w:t>
      </w:r>
      <w:r>
        <w:t xml:space="preserve"> </w:t>
      </w:r>
      <w:hyperlink r:id="rId21">
        <w:r>
          <w:rPr>
            <w:rStyle w:val="Hyperlink"/>
          </w:rPr>
          <w:t xml:space="preserve">https://cpformation.com/cpf-2027-syndicats-patronat-et-of-le-front-contre-larticle-89-selargit/</w:t>
        </w:r>
      </w:hyperlink>
    </w:p>
    <w:bookmarkEnd w:id="22"/>
    <w:bookmarkStart w:id="24" w:name="Xd173033e9cc9adbf755119b4b4a54ca2a5340d1"/>
    <w:p>
      <w:pPr>
        <w:pStyle w:val="Heading3"/>
      </w:pPr>
      <w:r>
        <w:t xml:space="preserve">Référé « bandeau CPF 200 € » : dépôt annoncé, pas d’ordonnance connue au 19 octobre</w:t>
      </w:r>
    </w:p>
    <w:p>
      <w:pPr>
        <w:pStyle w:val="FirstParagraph"/>
      </w:pPr>
      <w:r>
        <w:rPr>
          <w:bCs/>
          <w:b/>
        </w:rPr>
        <w:t xml:space="preserve">14/10/2026</w:t>
      </w:r>
      <w:r>
        <w:t xml:space="preserve"> </w:t>
      </w:r>
      <w:r>
        <w:t xml:space="preserve">— AEF info (rapporté par CPFormation le 17/10)</w:t>
      </w:r>
    </w:p>
    <w:p>
      <w:pPr>
        <w:pStyle w:val="BodyText"/>
      </w:pPr>
      <w:r>
        <w:t xml:space="preserve">Les Acteurs de la Compétence et le Synofdes ont confirmé leur référé devant le Conseil d’État contre le bandeau et la case à cocher affichés sur Mon Compte Formation depuis le 2 octobre (engagement à verser un complément pouvant atteindre 200 € au titre de l’article 89 du PLF 2027, non voté). Au 19 octobre, aucune ordonnance du juge des référés n’avait été rendue publique ; en droit positif, la participation obligatoire reste de 150 €.</w:t>
      </w:r>
    </w:p>
    <w:p>
      <w:pPr>
        <w:pStyle w:val="BodyText"/>
      </w:pPr>
      <w:r>
        <w:rPr>
          <w:iCs/>
          <w:i/>
        </w:rPr>
        <w:t xml:space="preserve">Impact pour l’organisme : point de vigilance maximal — une suspension des bandeaux changerait immédiatement le parcours d’achat CPF ; conserver la mention du complément éventuel dans les devis et parcours d’inscription tant que le bandeau est en ligne ; vérifier chaque semaine l’état du site Mon Compte Formation.</w:t>
      </w:r>
    </w:p>
    <w:p>
      <w:pPr>
        <w:pStyle w:val="BodyText"/>
      </w:pPr>
      <w:r>
        <w:t xml:space="preserve">Source :</w:t>
      </w:r>
      <w:r>
        <w:t xml:space="preserve"> </w:t>
      </w:r>
      <w:hyperlink r:id="rId21">
        <w:r>
          <w:rPr>
            <w:rStyle w:val="Hyperlink"/>
          </w:rPr>
          <w:t xml:space="preserve">https://cpformation.com/cpf-2027-syndicats-patronat-et-of-le-front-contre-larticle-89-selargit/</w:t>
        </w:r>
      </w:hyperlink>
      <w:r>
        <w:t xml:space="preserve"> </w:t>
      </w:r>
      <w:r>
        <w:t xml:space="preserve">•</w:t>
      </w:r>
      <w:r>
        <w:t xml:space="preserve"> </w:t>
      </w:r>
      <w:hyperlink r:id="rId23">
        <w:r>
          <w:rPr>
            <w:rStyle w:val="Hyperlink"/>
          </w:rPr>
          <w:t xml:space="preserve">https://www.moncompteformation.gouv.fr/espace-public/evolution-des-regles-dutilisation-du-cpf-compter-du-2-octobre-2026</w:t>
        </w:r>
      </w:hyperlink>
    </w:p>
    <w:bookmarkEnd w:id="24"/>
    <w:bookmarkStart w:id="27" w:name="X1f7b60230fb8cbefc3157edb69f20abd9a3590c"/>
    <w:p>
      <w:pPr>
        <w:pStyle w:val="Heading3"/>
      </w:pPr>
      <w:r>
        <w:t xml:space="preserve">Qualiopi V10 à J-13 : guide de lecture et arrêtés indicateurs 19-20 toujours non publiés</w:t>
      </w:r>
    </w:p>
    <w:p>
      <w:pPr>
        <w:pStyle w:val="FirstParagraph"/>
      </w:pPr>
      <w:r>
        <w:rPr>
          <w:bCs/>
          <w:b/>
        </w:rPr>
        <w:t xml:space="preserve">17-18/10/2026</w:t>
      </w:r>
      <w:r>
        <w:t xml:space="preserve"> </w:t>
      </w:r>
      <w:r>
        <w:t xml:space="preserve">— Certiforma (page mise à jour le 17 octobre, vérification au 18 octobre)</w:t>
      </w:r>
    </w:p>
    <w:p>
      <w:pPr>
        <w:pStyle w:val="BodyText"/>
      </w:pPr>
      <w:r>
        <w:t xml:space="preserve">À moins de deux semaines de l’entrée en vigueur du référentiel à 33 indicateurs (décret n° 2026-728 du 1er août 2026, applicable au 1er novembre 2026), ni le guide de lecture V10 ni les deux arrêtés attendus sur l’indicateur 19 (seuil déclenchant l’obligation d’un référent pédagogique par formation) et l’indicateur 20 (seuil de proportion d’heures assurées par des intervenants permanents) n’étaient publiés. Les obligations correspondantes restent donc sans seuil chiffré officiel. Rappel : les audits réalisés jusqu’au 31 octobre se font sur l’ancien référentiel (32 indicateurs).</w:t>
      </w:r>
    </w:p>
    <w:p>
      <w:pPr>
        <w:pStyle w:val="BodyText"/>
      </w:pPr>
      <w:r>
        <w:rPr>
          <w:iCs/>
          <w:i/>
        </w:rPr>
        <w:t xml:space="preserve">Impact pour l’organisme : poursuivre l’auto-diagnostic V10 sur la seule base du décret (hors CFA : prioriser allégations publiques, sous-traitance, traçabilité du distanciel) ; tracer chaque vérification hebdomadaire de la page ministérielle dans le registre de veille — cette traçabilité est elle-même une preuve de l’indicateur 23 ; prévoir une revue rapide dès la parution du guide V10, qui pourrait désormais paraître après l’entrée en vigueur.</w:t>
      </w:r>
    </w:p>
    <w:p>
      <w:pPr>
        <w:pStyle w:val="BodyText"/>
      </w:pPr>
      <w:r>
        <w:t xml:space="preserve">Source :</w:t>
      </w:r>
      <w:r>
        <w:t xml:space="preserve"> </w:t>
      </w:r>
      <w:hyperlink r:id="rId25">
        <w:r>
          <w:rPr>
            <w:rStyle w:val="Hyperlink"/>
          </w:rPr>
          <w:t xml:space="preserve">https://certiforma.fr/qualiopi-v10/</w:t>
        </w:r>
      </w:hyperlink>
      <w:r>
        <w:t xml:space="preserve"> </w:t>
      </w:r>
      <w:r>
        <w:t xml:space="preserve">•</w:t>
      </w:r>
      <w:r>
        <w:t xml:space="preserve"> </w:t>
      </w:r>
      <w:hyperlink r:id="rId26">
        <w:r>
          <w:rPr>
            <w:rStyle w:val="Hyperlink"/>
          </w:rPr>
          <w:t xml:space="preserve">https://travail-emploi.gouv.fr/referentiel-national-qualite-guide-de-lecture-qualiopi</w:t>
        </w:r>
      </w:hyperlink>
    </w:p>
    <w:bookmarkEnd w:id="27"/>
    <w:bookmarkStart w:id="30" w:name="X170975c292af7239e2146feb7853cab5e5164ad"/>
    <w:p>
      <w:pPr>
        <w:pStyle w:val="Heading3"/>
      </w:pPr>
      <w:r>
        <w:t xml:space="preserve">Financements régionaux et conjoncture : la Nouvelle-Aquitaine chiffre 25 000 places de formation en moins ; 50 % des organismes se disent fragilisés</w:t>
      </w:r>
    </w:p>
    <w:p>
      <w:pPr>
        <w:pStyle w:val="FirstParagraph"/>
      </w:pPr>
      <w:r>
        <w:rPr>
          <w:bCs/>
          <w:b/>
        </w:rPr>
        <w:t xml:space="preserve">13/10/2026</w:t>
      </w:r>
      <w:r>
        <w:t xml:space="preserve"> </w:t>
      </w:r>
      <w:r>
        <w:t xml:space="preserve">— Blog Benjamin Duplaa (séance plénière régionale du 12 octobre / enquête Les Acteurs de la Compétence)</w:t>
      </w:r>
    </w:p>
    <w:p>
      <w:pPr>
        <w:pStyle w:val="BodyText"/>
      </w:pPr>
      <w:r>
        <w:t xml:space="preserve">Deux signaux de conjoncture convergents en début de période : la région Nouvelle-Aquitaine a chiffré, lors de sa séance plénière du 12 octobre, à 79 M€ le retrait de l’État du Pacte régional d’investissement dans les compétences, soit environ 25 000 places de formation en moins sur deux ans ; et l’enquête de conjoncture des Acteurs de la Compétence (menée en juin 2026 auprès de 202 adhérents) indique que 50 % des répondants jugent la pérennité de leur structure fragilisée ou menacée, l’activité CPF basculant de 30 points vers la baisse.</w:t>
      </w:r>
    </w:p>
    <w:p>
      <w:pPr>
        <w:pStyle w:val="BodyText"/>
      </w:pPr>
      <w:r>
        <w:rPr>
          <w:iCs/>
          <w:i/>
        </w:rPr>
        <w:t xml:space="preserve">Impact pour l’organisme : intégrer ces signaux à l’analyse de risques commerciale (diversification des financements : OPCO, entreprises, fonds propres) ; si l’organisme répond à des marchés régionaux, anticiper la contraction des commandes publiques 2027.</w:t>
      </w:r>
    </w:p>
    <w:p>
      <w:pPr>
        <w:pStyle w:val="BodyText"/>
      </w:pPr>
      <w:r>
        <w:t xml:space="preserve">Source :</w:t>
      </w:r>
      <w:r>
        <w:t xml:space="preserve"> </w:t>
      </w:r>
      <w:hyperlink r:id="rId28">
        <w:r>
          <w:rPr>
            <w:rStyle w:val="Hyperlink"/>
          </w:rPr>
          <w:t xml:space="preserve">https://www.benjaminduplaa.com/blog/budget-2027-nouvelle-aquitaine-places-formation</w:t>
        </w:r>
      </w:hyperlink>
      <w:r>
        <w:t xml:space="preserve"> </w:t>
      </w:r>
      <w:r>
        <w:t xml:space="preserve">•</w:t>
      </w:r>
      <w:r>
        <w:t xml:space="preserve"> </w:t>
      </w:r>
      <w:hyperlink r:id="rId29">
        <w:r>
          <w:rPr>
            <w:rStyle w:val="Hyperlink"/>
          </w:rPr>
          <w:t xml:space="preserve">https://www.benjaminduplaa.com/blog/formation-demande-monte-financement-recule</w:t>
        </w:r>
      </w:hyperlink>
    </w:p>
    <w:bookmarkEnd w:id="30"/>
    <w:bookmarkStart w:id="32" w:name="X280a52136b46710bc85c252bf615168a1b48469"/>
    <w:p>
      <w:pPr>
        <w:pStyle w:val="Heading3"/>
      </w:pPr>
      <w:r>
        <w:t xml:space="preserve">Secteur santé : l’article 33 du PLFSS 2027 propose de réformer le DPC</w:t>
      </w:r>
    </w:p>
    <w:p>
      <w:pPr>
        <w:pStyle w:val="FirstParagraph"/>
      </w:pPr>
      <w:r>
        <w:rPr>
          <w:bCs/>
          <w:b/>
        </w:rPr>
        <w:t xml:space="preserve">15/10/2026</w:t>
      </w:r>
      <w:r>
        <w:t xml:space="preserve"> </w:t>
      </w:r>
      <w:r>
        <w:t xml:space="preserve">— Digiformag (éclairage de Nicolas Bardetis)</w:t>
      </w:r>
    </w:p>
    <w:p>
      <w:pPr>
        <w:pStyle w:val="BodyText"/>
      </w:pPr>
      <w:r>
        <w:t xml:space="preserve">Le PLFSS 2027 comporte, à son article 33, des évolutions du développement professionnel continu (DPC) des professionnels de santé. Les organismes intervenant dans le champ santé doivent suivre ce texte en parallèle du PLF.</w:t>
      </w:r>
    </w:p>
    <w:p>
      <w:pPr>
        <w:pStyle w:val="BodyText"/>
      </w:pPr>
      <w:r>
        <w:rPr>
          <w:iCs/>
          <w:i/>
        </w:rPr>
        <w:t xml:space="preserve">Impact pour l’organisme : si l’organisme est habilité DPC ou forme des professionnels de santé, analyser l’article 33 et suivre les débats du PLFSS ; sinon, simple point de veille sectorielle.</w:t>
      </w:r>
    </w:p>
    <w:p>
      <w:pPr>
        <w:pStyle w:val="BodyText"/>
      </w:pPr>
      <w:r>
        <w:t xml:space="preserve">Source :</w:t>
      </w:r>
      <w:r>
        <w:t xml:space="preserve"> </w:t>
      </w:r>
      <w:hyperlink r:id="rId31">
        <w:r>
          <w:rPr>
            <w:rStyle w:val="Hyperlink"/>
          </w:rPr>
          <w:t xml:space="preserve">https://www.digiformag.com/dpc-ce-que-larticle-33-du-plfss-2027-propose-de-changer-leclairage-de-nicolas-bardetis/</w:t>
        </w:r>
      </w:hyperlink>
    </w:p>
    <w:bookmarkEnd w:id="32"/>
    <w:bookmarkEnd w:id="33"/>
    <w:bookmarkStart w:id="40" w:name="Xbb6cb3fc6155c3b4882d70d43cd43887fab2960"/>
    <w:p>
      <w:pPr>
        <w:pStyle w:val="Heading2"/>
      </w:pPr>
      <w:r>
        <w:t xml:space="preserve">2. Veille métiers, compétences et certifications (indicateur 23)</w:t>
      </w:r>
    </w:p>
    <w:bookmarkStart w:id="35" w:name="X08824242f9411a506021b67fc81bc9cd59ae3fc"/>
    <w:p>
      <w:pPr>
        <w:pStyle w:val="Heading3"/>
      </w:pPr>
      <w:r>
        <w:t xml:space="preserve">France compétences actualise les notices d’aide au dépôt RNCP et RS</w:t>
      </w:r>
    </w:p>
    <w:p>
      <w:pPr>
        <w:pStyle w:val="FirstParagraph"/>
      </w:pPr>
      <w:r>
        <w:rPr>
          <w:bCs/>
          <w:b/>
        </w:rPr>
        <w:t xml:space="preserve">15/10/2026</w:t>
      </w:r>
      <w:r>
        <w:t xml:space="preserve"> </w:t>
      </w:r>
      <w:r>
        <w:t xml:space="preserve">— France compétences</w:t>
      </w:r>
    </w:p>
    <w:p>
      <w:pPr>
        <w:pStyle w:val="BodyText"/>
      </w:pPr>
      <w:r>
        <w:t xml:space="preserve">France compétences a mis en ligne le 15 octobre deux notices actualisées d’aide au dépôt d’une demande d’enregistrement : l’une pour le Répertoire national des certifications professionnelles (RNCP), l’autre pour le Répertoire spécifique (RS). Ces notices cadrent les attendus de la commission de la certification professionnelle — fraîchement renouvelée (arrêté du 6 octobre) — pour les prochains dépôts.</w:t>
      </w:r>
    </w:p>
    <w:p>
      <w:pPr>
        <w:pStyle w:val="BodyText"/>
      </w:pPr>
      <w:r>
        <w:rPr>
          <w:iCs/>
          <w:i/>
        </w:rPr>
        <w:t xml:space="preserve">Impact pour l’organisme : si un dépôt ou renouvellement RNCP/RS est envisagé (en propre ou en partenariat), reprendre les dossiers à l’aune des notices du 15 octobre ; archiver la version à jour dans le dossier certification (preuve indicateur 23).</w:t>
      </w:r>
    </w:p>
    <w:p>
      <w:pPr>
        <w:pStyle w:val="BodyText"/>
      </w:pPr>
      <w:r>
        <w:t xml:space="preserve">Source :</w:t>
      </w:r>
      <w:r>
        <w:t xml:space="preserve"> </w:t>
      </w:r>
      <w:hyperlink r:id="rId34">
        <w:r>
          <w:rPr>
            <w:rStyle w:val="Hyperlink"/>
          </w:rPr>
          <w:t xml:space="preserve">https://www.francecompetences.fr/</w:t>
        </w:r>
      </w:hyperlink>
    </w:p>
    <w:bookmarkEnd w:id="35"/>
    <w:bookmarkStart w:id="37" w:name="Xe7317828022038d7db875c61fe978970b040993"/>
    <w:p>
      <w:pPr>
        <w:pStyle w:val="Heading3"/>
      </w:pPr>
      <w:r>
        <w:t xml:space="preserve">Rappel d’échéance : blocs de compétences RNCP sur EDOF avant le 22 octobre</w:t>
      </w:r>
    </w:p>
    <w:p>
      <w:pPr>
        <w:pStyle w:val="FirstParagraph"/>
      </w:pPr>
      <w:r>
        <w:rPr>
          <w:bCs/>
          <w:b/>
        </w:rPr>
        <w:t xml:space="preserve">échéance au 22/10/2026</w:t>
      </w:r>
      <w:r>
        <w:t xml:space="preserve"> </w:t>
      </w:r>
      <w:r>
        <w:t xml:space="preserve">— Caisse des Dépôts / EDOF</w:t>
      </w:r>
    </w:p>
    <w:p>
      <w:pPr>
        <w:pStyle w:val="BodyText"/>
      </w:pPr>
      <w:r>
        <w:t xml:space="preserve">Dernière ligne droite : les organismes proposant des formations certifiantes au CPF doivent avoir saisi (ou importé via XML mis à jour) les blocs de compétences RNCP dans EDOF avant le 22 octobre, sous peine de retrait des formations concernées du moteur de recherche de Mon Compte Formation.</w:t>
      </w:r>
    </w:p>
    <w:p>
      <w:pPr>
        <w:pStyle w:val="BodyText"/>
      </w:pPr>
      <w:r>
        <w:rPr>
          <w:iCs/>
          <w:i/>
        </w:rPr>
        <w:t xml:space="preserve">Impact pour l’organisme : vérifier impérativement cette semaine que la saisie est complète pour toutes les formations certifiantes au catalogue EDOF.</w:t>
      </w:r>
    </w:p>
    <w:p>
      <w:pPr>
        <w:pStyle w:val="BodyText"/>
      </w:pPr>
      <w:r>
        <w:t xml:space="preserve">Source :</w:t>
      </w:r>
      <w:r>
        <w:t xml:space="preserve"> </w:t>
      </w:r>
      <w:hyperlink r:id="rId36">
        <w:r>
          <w:rPr>
            <w:rStyle w:val="Hyperlink"/>
          </w:rPr>
          <w:t xml:space="preserve">https://www.moncompteformation.gouv.fr/</w:t>
        </w:r>
      </w:hyperlink>
      <w:r>
        <w:t xml:space="preserve"> </w:t>
      </w:r>
      <w:r>
        <w:t xml:space="preserve">(portail EDOF)</w:t>
      </w:r>
    </w:p>
    <w:bookmarkEnd w:id="37"/>
    <w:bookmarkStart w:id="39" w:name="X8c978eabc2a95092552c81929a791761226ff97"/>
    <w:p>
      <w:pPr>
        <w:pStyle w:val="Heading3"/>
      </w:pPr>
      <w:r>
        <w:t xml:space="preserve">NPEC apprentissage : valeurs définitives attendues après la clôture du positionnement des branches</w:t>
      </w:r>
    </w:p>
    <w:p>
      <w:pPr>
        <w:pStyle w:val="FirstParagraph"/>
      </w:pPr>
      <w:r>
        <w:rPr>
          <w:bCs/>
          <w:b/>
        </w:rPr>
        <w:t xml:space="preserve">suivi — mi-octobre 2026</w:t>
      </w:r>
      <w:r>
        <w:t xml:space="preserve"> </w:t>
      </w:r>
      <w:r>
        <w:t xml:space="preserve">— France compétences</w:t>
      </w:r>
    </w:p>
    <w:p>
      <w:pPr>
        <w:pStyle w:val="BodyText"/>
      </w:pPr>
      <w:r>
        <w:t xml:space="preserve">Après la clôture du positionnement des branches le 8 octobre (mécanisme du décret n° 2026-411), la mise à jour du référentiel unique des NPEC n’était pas encore publiée au 19 octobre (dernière version en ligne : 25 septembre 2026, applicable aux contrats conclus depuis le 1er septembre, cf. décret n° 2026-832 du 29 août 2026).</w:t>
      </w:r>
    </w:p>
    <w:p>
      <w:pPr>
        <w:pStyle w:val="BodyText"/>
      </w:pPr>
      <w:r>
        <w:rPr>
          <w:iCs/>
          <w:i/>
        </w:rPr>
        <w:t xml:space="preserve">Impact pour l’organisme (si activité apprentissage) : continuer à surveiller la page « Référentiel NPEC » de France compétences et répercuter les valeurs définitives dans les budgets de contrats dès publication.</w:t>
      </w:r>
    </w:p>
    <w:p>
      <w:pPr>
        <w:pStyle w:val="BodyText"/>
      </w:pPr>
      <w:r>
        <w:t xml:space="preserve">Source :</w:t>
      </w:r>
      <w:r>
        <w:t xml:space="preserve"> </w:t>
      </w:r>
      <w:hyperlink r:id="rId34">
        <w:r>
          <w:rPr>
            <w:rStyle w:val="Hyperlink"/>
          </w:rPr>
          <w:t xml:space="preserve">https://www.francecompetences.fr/</w:t>
        </w:r>
      </w:hyperlink>
      <w:r>
        <w:t xml:space="preserve"> </w:t>
      </w:r>
      <w:r>
        <w:t xml:space="preserve">•</w:t>
      </w:r>
      <w:r>
        <w:t xml:space="preserve"> </w:t>
      </w:r>
      <w:hyperlink r:id="rId38">
        <w:r>
          <w:rPr>
            <w:rStyle w:val="Hyperlink"/>
          </w:rPr>
          <w:t xml:space="preserve">https://www.legifrance.gouv.fr/loda/id/JORFTEXT000054762162/2026-09-01</w:t>
        </w:r>
      </w:hyperlink>
    </w:p>
    <w:bookmarkEnd w:id="39"/>
    <w:bookmarkEnd w:id="40"/>
    <w:bookmarkStart w:id="50" w:name="X406fcec4051a43c8b194b898d8715cc68458b80"/>
    <w:p>
      <w:pPr>
        <w:pStyle w:val="Heading2"/>
      </w:pPr>
      <w:r>
        <w:t xml:space="preserve">3. Veille sur les innovations pédagogiques et technologiques (indicateurs 24-25)</w:t>
      </w:r>
    </w:p>
    <w:bookmarkStart w:id="42" w:name="X4d1dbdf2d713dd5fca2b4da917f46ebf219da81"/>
    <w:p>
      <w:pPr>
        <w:pStyle w:val="Heading3"/>
      </w:pPr>
      <w:r>
        <w:t xml:space="preserve">« L’IA peut-elle nous faire perdre nos compétences ? » — le débat sur le désapprentissage s’installe</w:t>
      </w:r>
    </w:p>
    <w:p>
      <w:pPr>
        <w:pStyle w:val="FirstParagraph"/>
      </w:pPr>
      <w:r>
        <w:rPr>
          <w:bCs/>
          <w:b/>
        </w:rPr>
        <w:t xml:space="preserve">16/10/2026</w:t>
      </w:r>
      <w:r>
        <w:t xml:space="preserve"> </w:t>
      </w:r>
      <w:r>
        <w:t xml:space="preserve">— EdTech Actu</w:t>
      </w:r>
    </w:p>
    <w:p>
      <w:pPr>
        <w:pStyle w:val="BodyText"/>
      </w:pPr>
      <w:r>
        <w:t xml:space="preserve">Article de fond sur un risque désormais documenté : l’IA peut rendre les individus plus performants à court terme tout en érodant leurs compétences propres (phénomène de « deskilling »). Une question directement pédagogique : comment concevoir des parcours où l’IA augmente l’apprenant sans se substituer à l’apprentissage ?</w:t>
      </w:r>
    </w:p>
    <w:p>
      <w:pPr>
        <w:pStyle w:val="BodyText"/>
      </w:pPr>
      <w:r>
        <w:rPr>
          <w:iCs/>
          <w:i/>
        </w:rPr>
        <w:t xml:space="preserve">Impact pour l’organisme : intégrer ce point à la charte IA interne en cours de formalisation (cf. fiches 2026-05 et 2026-06) — définir quand l’IA est autorisée, encadrée ou proscrite dans les évaluations ; thème pertinent pour la professionnalisation des formateurs (indicateurs 21-22) et la conception des parcours (indicateurs 24-25).</w:t>
      </w:r>
    </w:p>
    <w:p>
      <w:pPr>
        <w:pStyle w:val="BodyText"/>
      </w:pPr>
      <w:r>
        <w:t xml:space="preserve">Source :</w:t>
      </w:r>
      <w:r>
        <w:t xml:space="preserve"> </w:t>
      </w:r>
      <w:hyperlink r:id="rId41">
        <w:r>
          <w:rPr>
            <w:rStyle w:val="Hyperlink"/>
          </w:rPr>
          <w:t xml:space="preserve">https://edtechactu.com/evaluation/lia-peut-elle-nous-faire-perdre-nos-competences/</w:t>
        </w:r>
      </w:hyperlink>
    </w:p>
    <w:bookmarkEnd w:id="42"/>
    <w:bookmarkStart w:id="44" w:name="Xbeb9945d10b3c49b4de5fa0599a12564ee1c81a"/>
    <w:p>
      <w:pPr>
        <w:pStyle w:val="Heading3"/>
      </w:pPr>
      <w:r>
        <w:t xml:space="preserve">Qualiopi et ludopédagogie : comment prouver qu’un jeu fait réellement apprendre</w:t>
      </w:r>
    </w:p>
    <w:p>
      <w:pPr>
        <w:pStyle w:val="FirstParagraph"/>
      </w:pPr>
      <w:r>
        <w:rPr>
          <w:bCs/>
          <w:b/>
        </w:rPr>
        <w:t xml:space="preserve">13/10/2026</w:t>
      </w:r>
      <w:r>
        <w:t xml:space="preserve"> </w:t>
      </w:r>
      <w:r>
        <w:t xml:space="preserve">— Digiformag</w:t>
      </w:r>
    </w:p>
    <w:p>
      <w:pPr>
        <w:pStyle w:val="BodyText"/>
      </w:pPr>
      <w:r>
        <w:t xml:space="preserve">Guide pratique sur la justification pédagogique des formats ludiques en audit Qualiopi : objectifs d’apprentissage adossés au jeu, traçabilité des acquis, évaluation. Utile à l’heure où les formats ludo-pédagogiques se multiplient dans les catalogues.</w:t>
      </w:r>
    </w:p>
    <w:p>
      <w:pPr>
        <w:pStyle w:val="BodyText"/>
      </w:pPr>
      <w:r>
        <w:rPr>
          <w:iCs/>
          <w:i/>
        </w:rPr>
        <w:t xml:space="preserve">Impact pour l’organisme : si des serious games, escape games ou quiz gamifiés figurent au catalogue, documenter le lien objectifs-modalités-évaluation pour chaque format ludique (preuves indicateurs 5, 24-25) ; bonne lecture préparatoire à l’audit V10.</w:t>
      </w:r>
    </w:p>
    <w:p>
      <w:pPr>
        <w:pStyle w:val="BodyText"/>
      </w:pPr>
      <w:r>
        <w:t xml:space="preserve">Source :</w:t>
      </w:r>
      <w:r>
        <w:t xml:space="preserve"> </w:t>
      </w:r>
      <w:hyperlink r:id="rId43">
        <w:r>
          <w:rPr>
            <w:rStyle w:val="Hyperlink"/>
          </w:rPr>
          <w:t xml:space="preserve">https://www.digiformag.com/qualiopi-et-ludopedagogie-comment-prouver-quun-jeu-fait-reellement-apprendre/</w:t>
        </w:r>
      </w:hyperlink>
    </w:p>
    <w:bookmarkEnd w:id="44"/>
    <w:bookmarkStart w:id="49" w:name="Xa445c010cde1ad5bc9d7e540325b790390c2a29"/>
    <w:p>
      <w:pPr>
        <w:pStyle w:val="Heading3"/>
      </w:pPr>
      <w:r>
        <w:t xml:space="preserve">IA et orientation : L’Étudiant et Klee Group lancent une IA dédiée ; les EdTech investissent l’évaluation orale</w:t>
      </w:r>
    </w:p>
    <w:p>
      <w:pPr>
        <w:pStyle w:val="FirstParagraph"/>
      </w:pPr>
      <w:r>
        <w:rPr>
          <w:bCs/>
          <w:b/>
        </w:rPr>
        <w:t xml:space="preserve">13-15/10/2026</w:t>
      </w:r>
      <w:r>
        <w:t xml:space="preserve"> </w:t>
      </w:r>
      <w:r>
        <w:t xml:space="preserve">— EdTech Actu</w:t>
      </w:r>
    </w:p>
    <w:p>
      <w:pPr>
        <w:pStyle w:val="BodyText"/>
      </w:pPr>
      <w:r>
        <w:t xml:space="preserve">Deux signaux d’industrialisation de l’IA éducative cette semaine : le lancement par L’Étudiant et Klee Group d’une IA d’aide à l’orientation (15 octobre), et le développement de Brio, EdTech qui prépare les étudiants aux oraux grâce à l’IA (13 octobre). À noter aussi, un article « Cinq idées reçues à balayer sur le numérique éducatif » (14 octobre) et la mise en ligne des vidéos du séminaire SIAFO 2026 (« Intelligence Artificielle en FOrmation », GIS 2IF) — ressource gratuite de professionnalisation.</w:t>
      </w:r>
    </w:p>
    <w:p>
      <w:pPr>
        <w:pStyle w:val="BodyText"/>
      </w:pPr>
      <w:r>
        <w:rPr>
          <w:iCs/>
          <w:i/>
        </w:rPr>
        <w:t xml:space="preserve">Impact pour l’organisme : sources d’inspiration pour outiller le positionnement à l’entrée (indicateur 8) et l’entraînement aux certifications orales ; inscrire les vidéos SIAFO au plan de professionnalisation des équipes (replays archivables comme preuves).</w:t>
      </w:r>
    </w:p>
    <w:p>
      <w:pPr>
        <w:pStyle w:val="BodyText"/>
      </w:pPr>
      <w:r>
        <w:t xml:space="preserve">Source :</w:t>
      </w:r>
      <w:r>
        <w:t xml:space="preserve"> </w:t>
      </w:r>
      <w:hyperlink r:id="rId45">
        <w:r>
          <w:rPr>
            <w:rStyle w:val="Hyperlink"/>
          </w:rPr>
          <w:t xml:space="preserve">https://edtechactu.com/orientation/letudiant-et-klee-group-lancent-une-ia-dediee-a-lorientation/</w:t>
        </w:r>
      </w:hyperlink>
      <w:r>
        <w:t xml:space="preserve"> </w:t>
      </w:r>
      <w:r>
        <w:t xml:space="preserve">•</w:t>
      </w:r>
      <w:r>
        <w:t xml:space="preserve"> </w:t>
      </w:r>
      <w:hyperlink r:id="rId46">
        <w:r>
          <w:rPr>
            <w:rStyle w:val="Hyperlink"/>
          </w:rPr>
          <w:t xml:space="preserve">https://edtechactu.com/evaluation/brio-prepare-les-etudiants-aux-oraux-grace-a-lia/</w:t>
        </w:r>
      </w:hyperlink>
      <w:r>
        <w:t xml:space="preserve"> </w:t>
      </w:r>
      <w:r>
        <w:t xml:space="preserve">•</w:t>
      </w:r>
      <w:r>
        <w:t xml:space="preserve"> </w:t>
      </w:r>
      <w:hyperlink r:id="rId47">
        <w:r>
          <w:rPr>
            <w:rStyle w:val="Hyperlink"/>
          </w:rPr>
          <w:t xml:space="preserve">https://edtechactu.com/digital-learning/cinq-idees-recues-a-balayer-sur-le-numerique-educatif/</w:t>
        </w:r>
      </w:hyperlink>
      <w:r>
        <w:t xml:space="preserve"> </w:t>
      </w:r>
      <w:r>
        <w:t xml:space="preserve">•</w:t>
      </w:r>
      <w:r>
        <w:t xml:space="preserve"> </w:t>
      </w:r>
      <w:hyperlink r:id="rId48">
        <w:r>
          <w:rPr>
            <w:rStyle w:val="Hyperlink"/>
          </w:rPr>
          <w:t xml:space="preserve">https://latelierduformateur.fr/videos-du-seminaire-intelligence-artificielle-en-formation-siafo-2026/</w:t>
        </w:r>
      </w:hyperlink>
    </w:p>
    <w:bookmarkEnd w:id="49"/>
    <w:bookmarkEnd w:id="50"/>
    <w:bookmarkStart w:id="56" w:name="X3f0859653963368d38d74fba3081e07a4da06c8"/>
    <w:p>
      <w:pPr>
        <w:pStyle w:val="Heading2"/>
      </w:pPr>
      <w:r>
        <w:t xml:space="preserve">4. Veille handicap et accessibilité (indicateur 26)</w:t>
      </w:r>
    </w:p>
    <w:p>
      <w:pPr>
        <w:pStyle w:val="FirstParagraph"/>
      </w:pPr>
      <w:r>
        <w:rPr>
          <w:iCs/>
          <w:i/>
        </w:rPr>
        <w:t xml:space="preserve">Pas de nouveau texte réglementaire repéré sur la période du 13 au 19 octobre (le site de l’Agefiph n’a pu être consulté directement cette semaine — accès entravé ; à re-vérifier la semaine prochaine). L’actualité utile vient des outils d’accessibilité pédagogique et de la préparation de la SEEPH.</w:t>
      </w:r>
    </w:p>
    <w:bookmarkStart w:id="52" w:name="Xd9fdb4acaeaed952c7552afd3ea92111af0be1c"/>
    <w:p>
      <w:pPr>
        <w:pStyle w:val="Heading3"/>
      </w:pPr>
      <w:r>
        <w:t xml:space="preserve">Memovia renforce l’accessibilité de ses supports de cours (dyslexie, TDAH, basse vision)</w:t>
      </w:r>
    </w:p>
    <w:p>
      <w:pPr>
        <w:pStyle w:val="FirstParagraph"/>
      </w:pPr>
      <w:r>
        <w:rPr>
          <w:bCs/>
          <w:b/>
        </w:rPr>
        <w:t xml:space="preserve">≈ 15/10/2026</w:t>
      </w:r>
      <w:r>
        <w:t xml:space="preserve"> </w:t>
      </w:r>
      <w:r>
        <w:t xml:space="preserve">— L’Atelier du Formateur</w:t>
      </w:r>
    </w:p>
    <w:p>
      <w:pPr>
        <w:pStyle w:val="BodyText"/>
      </w:pPr>
      <w:r>
        <w:t xml:space="preserve">L’application web Memovia (conçue à Toulouse pour les formateurs, CFA et écoles) enrichit ses fonctions d’accessibilité : profils de lecture Dyslexie, TDAH, Basse vision et désormais « Lecture » (polices OpenDyslexic et Luciole, taille, espacement, syllabes en couleurs, réglages suivant le compte sur tous les appareils), bilan de vérification d’accessibilité page par page (code couleur), schémas zoomables haute résolution, lecture à voix haute avec surlignage du mot lu, transcription d’enregistrements de cours. Côté formateur : un seul support génère résumé, fiche, quiz, flashcards, carte mentale et podcast, sans modifier le cours original.</w:t>
      </w:r>
    </w:p>
    <w:p>
      <w:pPr>
        <w:pStyle w:val="BodyText"/>
      </w:pPr>
      <w:r>
        <w:rPr>
          <w:iCs/>
          <w:i/>
        </w:rPr>
        <w:t xml:space="preserve">Impact pour l’organisme : outil à évaluer pour la compensation pédagogique des apprenants à besoins spécifiques (indicateur 26) — en lien avec le référent handicap ; la génération multi-formats sert aussi l’adaptation des modalités (indicateurs 24-25) ; documenter tout test dans le registre des aménagements.</w:t>
      </w:r>
    </w:p>
    <w:p>
      <w:pPr>
        <w:pStyle w:val="BodyText"/>
      </w:pPr>
      <w:r>
        <w:t xml:space="preserve">Source :</w:t>
      </w:r>
      <w:r>
        <w:t xml:space="preserve"> </w:t>
      </w:r>
      <w:hyperlink r:id="rId51">
        <w:r>
          <w:rPr>
            <w:rStyle w:val="Hyperlink"/>
          </w:rPr>
          <w:t xml:space="preserve">https://latelierduformateur.fr/memovia-toujours-plus-accessible-pour-les-apprenants-voici-ce-qui-a-change/</w:t>
        </w:r>
      </w:hyperlink>
    </w:p>
    <w:bookmarkEnd w:id="52"/>
    <w:bookmarkStart w:id="55" w:name="X725ba2f6de076ee88d37ebfd5d7362b6077beec"/>
    <w:p>
      <w:pPr>
        <w:pStyle w:val="Heading3"/>
      </w:pPr>
      <w:r>
        <w:t xml:space="preserve">SEEPH (16-22 novembre) et DuoDay (19 novembre) : dernière ligne droite de préparation</w:t>
      </w:r>
    </w:p>
    <w:p>
      <w:pPr>
        <w:pStyle w:val="FirstParagraph"/>
      </w:pPr>
      <w:r>
        <w:rPr>
          <w:bCs/>
          <w:b/>
        </w:rPr>
        <w:t xml:space="preserve">rappel — octobre 2026</w:t>
      </w:r>
      <w:r>
        <w:t xml:space="preserve"> </w:t>
      </w:r>
      <w:r>
        <w:t xml:space="preserve">— Agefiph / monparcourshandicap.gouv.fr</w:t>
      </w:r>
    </w:p>
    <w:p>
      <w:pPr>
        <w:pStyle w:val="BodyText"/>
      </w:pPr>
      <w:r>
        <w:t xml:space="preserve">À un mois de la 30e SEEPH (thème « Démystifier, simplifier, accompagner. L’emploi pour toutes et tous »), le kit de communication Agefiph est disponible (webinaires de préparation des 10 septembre et 6 octobre, replays en ligne) et les inscriptions DuoDay 2026 (19 novembre) sont ouvertes.</w:t>
      </w:r>
    </w:p>
    <w:p>
      <w:pPr>
        <w:pStyle w:val="BodyText"/>
      </w:pPr>
      <w:r>
        <w:rPr>
          <w:iCs/>
          <w:i/>
        </w:rPr>
        <w:t xml:space="preserve">Impact pour l’organisme : finaliser cette semaine le programme SEEPH de l’organisme et l’inscription DuoDay ; archiver kit, replays et programme comme preuves de l’indicateur 26.</w:t>
      </w:r>
    </w:p>
    <w:p>
      <w:pPr>
        <w:pStyle w:val="BodyText"/>
      </w:pPr>
      <w:r>
        <w:t xml:space="preserve">Source :</w:t>
      </w:r>
      <w:r>
        <w:t xml:space="preserve"> </w:t>
      </w:r>
      <w:hyperlink r:id="rId53">
        <w:r>
          <w:rPr>
            <w:rStyle w:val="Hyperlink"/>
          </w:rPr>
          <w:t xml:space="preserve">https://www.agefiph.fr/actualites-handicap/seeph-2026-webinaires-les-10-septembre-et-6-octobre-pour-les-activateurs-de</w:t>
        </w:r>
      </w:hyperlink>
      <w:r>
        <w:t xml:space="preserve"> </w:t>
      </w:r>
      <w:r>
        <w:t xml:space="preserve">•</w:t>
      </w:r>
      <w:r>
        <w:t xml:space="preserve"> </w:t>
      </w:r>
      <w:hyperlink r:id="rId54">
        <w:r>
          <w:rPr>
            <w:rStyle w:val="Hyperlink"/>
          </w:rPr>
          <w:t xml:space="preserve">https://www.monparcourshandicap.gouv.fr/actualite/duoday-2026-les-inscriptions-sont-ouvertes</w:t>
        </w:r>
      </w:hyperlink>
    </w:p>
    <w:bookmarkEnd w:id="55"/>
    <w:bookmarkEnd w:id="56"/>
    <w:bookmarkStart w:id="57" w:name="échéances-à-venir"/>
    <w:p>
      <w:pPr>
        <w:pStyle w:val="Heading2"/>
      </w:pPr>
      <w:r>
        <w:t xml:space="preserve">5. Échéances à venir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Échéance</w:t>
            </w:r>
          </w:p>
        </w:tc>
        <w:tc>
          <w:tcPr/>
          <w:p>
            <w:pPr>
              <w:pStyle w:val="Compact"/>
              <w:jc w:val="left"/>
            </w:pPr>
            <w:r>
              <w:t xml:space="preserve">Objet</w:t>
            </w:r>
          </w:p>
        </w:tc>
      </w:tr>
      <w:tr>
        <w:tc>
          <w:tcPr/>
          <w:p>
            <w:pPr>
              <w:pStyle w:val="Compact"/>
              <w:jc w:val="left"/>
            </w:pPr>
            <w:r>
              <w:rPr>
                <w:bCs/>
                <w:b/>
              </w:rPr>
              <w:t xml:space="preserve">22 oct. 2026</w:t>
            </w:r>
          </w:p>
        </w:tc>
        <w:tc>
          <w:tcPr/>
          <w:p>
            <w:pPr>
              <w:pStyle w:val="Compact"/>
              <w:jc w:val="left"/>
            </w:pPr>
            <w:r>
              <w:rPr>
                <w:bCs/>
                <w:b/>
              </w:rPr>
              <w:t xml:space="preserve">Date limite : blocs de compétences RNCP sur EDOF (saisie ou import XML) — sinon retrait du moteur de recherche MCF</w:t>
            </w:r>
          </w:p>
        </w:tc>
      </w:tr>
      <w:tr>
        <w:tc>
          <w:tcPr/>
          <w:p>
            <w:pPr>
              <w:pStyle w:val="Compact"/>
              <w:jc w:val="left"/>
            </w:pPr>
            <w:r>
              <w:rPr>
                <w:bCs/>
                <w:b/>
              </w:rPr>
              <w:t xml:space="preserve">27 oct. – 16 nov. 2026</w:t>
            </w:r>
          </w:p>
        </w:tc>
        <w:tc>
          <w:tcPr/>
          <w:p>
            <w:pPr>
              <w:pStyle w:val="Compact"/>
              <w:jc w:val="left"/>
            </w:pPr>
            <w:r>
              <w:rPr>
                <w:bCs/>
                <w:b/>
              </w:rPr>
              <w:t xml:space="preserve">Examen en séance de la seconde partie du PLF 2027 à l’Assemblée nationale, dont l’article 89 (CPF, Cufpa)</w:t>
            </w:r>
          </w:p>
        </w:tc>
      </w:tr>
      <w:tr>
        <w:tc>
          <w:tcPr/>
          <w:p>
            <w:pPr>
              <w:pStyle w:val="Compact"/>
              <w:jc w:val="left"/>
            </w:pPr>
            <w:r>
              <w:t xml:space="preserve">31 oct. 2026</w:t>
            </w:r>
          </w:p>
        </w:tc>
        <w:tc>
          <w:tcPr/>
          <w:p>
            <w:pPr>
              <w:pStyle w:val="Compact"/>
              <w:jc w:val="left"/>
            </w:pPr>
            <w:r>
              <w:t xml:space="preserve">Dernier jour des audits Qualiopi sur l’ancien référentiel (32 indicateurs)</w:t>
            </w:r>
          </w:p>
        </w:tc>
      </w:tr>
      <w:tr>
        <w:tc>
          <w:tcPr/>
          <w:p>
            <w:pPr>
              <w:pStyle w:val="Compact"/>
              <w:jc w:val="left"/>
            </w:pPr>
            <w:r>
              <w:rPr>
                <w:bCs/>
                <w:b/>
              </w:rPr>
              <w:t xml:space="preserve">1er nov. 2026</w:t>
            </w:r>
          </w:p>
        </w:tc>
        <w:tc>
          <w:tcPr/>
          <w:p>
            <w:pPr>
              <w:pStyle w:val="Compact"/>
              <w:jc w:val="left"/>
            </w:pPr>
            <w:r>
              <w:rPr>
                <w:bCs/>
                <w:b/>
              </w:rPr>
              <w:t xml:space="preserve">Entrée en vigueur du référentiel Qualiopi à 33 indicateurs (décret n° 2026-728) — guide V10 et arrêtés ind. 19-20 toujours non publiés au 18 oct.</w:t>
            </w:r>
          </w:p>
        </w:tc>
      </w:tr>
      <w:tr>
        <w:tc>
          <w:tcPr/>
          <w:p>
            <w:pPr>
              <w:pStyle w:val="Compact"/>
              <w:jc w:val="left"/>
            </w:pPr>
            <w:r>
              <w:t xml:space="preserve">5 nov. 2026</w:t>
            </w:r>
          </w:p>
        </w:tc>
        <w:tc>
          <w:tcPr/>
          <w:p>
            <w:pPr>
              <w:pStyle w:val="Compact"/>
              <w:jc w:val="left"/>
            </w:pPr>
            <w:r>
              <w:t xml:space="preserve">Journée de mobilisation CGT contre la réforme du CPF (art. 89 PLF 2027)</w:t>
            </w:r>
          </w:p>
        </w:tc>
      </w:tr>
      <w:tr>
        <w:tc>
          <w:tcPr/>
          <w:p>
            <w:pPr>
              <w:pStyle w:val="Compact"/>
              <w:jc w:val="left"/>
            </w:pPr>
            <w:r>
              <w:t xml:space="preserve">16-22 nov. 2026</w:t>
            </w:r>
          </w:p>
        </w:tc>
        <w:tc>
          <w:tcPr/>
          <w:p>
            <w:pPr>
              <w:pStyle w:val="Compact"/>
              <w:jc w:val="left"/>
            </w:pPr>
            <w:r>
              <w:t xml:space="preserve">SEEPH 2026 (30e édition) — kit de communication disponible</w:t>
            </w:r>
          </w:p>
        </w:tc>
      </w:tr>
      <w:tr>
        <w:tc>
          <w:tcPr/>
          <w:p>
            <w:pPr>
              <w:pStyle w:val="Compact"/>
              <w:jc w:val="left"/>
            </w:pPr>
            <w:r>
              <w:t xml:space="preserve">19 nov. 2026</w:t>
            </w:r>
          </w:p>
        </w:tc>
        <w:tc>
          <w:tcPr/>
          <w:p>
            <w:pPr>
              <w:pStyle w:val="Compact"/>
              <w:jc w:val="left"/>
            </w:pPr>
            <w:r>
              <w:t xml:space="preserve">DuoDay 2026 (inscriptions ouvertes)</w:t>
            </w:r>
          </w:p>
        </w:tc>
      </w:tr>
      <w:tr>
        <w:tc>
          <w:tcPr/>
          <w:p>
            <w:pPr>
              <w:pStyle w:val="Compact"/>
              <w:jc w:val="left"/>
            </w:pPr>
            <w:r>
              <w:t xml:space="preserve">Déc. 2026</w:t>
            </w:r>
          </w:p>
        </w:tc>
        <w:tc>
          <w:tcPr/>
          <w:p>
            <w:pPr>
              <w:pStyle w:val="Compact"/>
              <w:jc w:val="left"/>
            </w:pPr>
            <w:r>
              <w:t xml:space="preserve">Vote final du PLF 2027 (CPF, Cufpa, Pric, apprentissage)</w:t>
            </w:r>
          </w:p>
        </w:tc>
      </w:tr>
      <w:tr>
        <w:tc>
          <w:tcPr/>
          <w:p>
            <w:pPr>
              <w:pStyle w:val="Compact"/>
              <w:jc w:val="left"/>
            </w:pPr>
            <w:r>
              <w:t xml:space="preserve">31 déc. 2026</w:t>
            </w:r>
          </w:p>
        </w:tc>
        <w:tc>
          <w:tcPr/>
          <w:p>
            <w:pPr>
              <w:pStyle w:val="Compact"/>
              <w:jc w:val="left"/>
            </w:pPr>
            <w:r>
              <w:t xml:space="preserve">Fin de l’aide exceptionnelle aux employeurs d’apprentis (contrats conclus avant cette date)</w:t>
            </w:r>
          </w:p>
        </w:tc>
      </w:tr>
      <w:tr>
        <w:tc>
          <w:tcPr/>
          <w:p>
            <w:pPr>
              <w:pStyle w:val="Compact"/>
              <w:jc w:val="left"/>
            </w:pPr>
            <w:r>
              <w:t xml:space="preserve">2027</w:t>
            </w:r>
          </w:p>
        </w:tc>
        <w:tc>
          <w:tcPr/>
          <w:p>
            <w:pPr>
              <w:pStyle w:val="Compact"/>
              <w:jc w:val="left"/>
            </w:pPr>
            <w:r>
              <w:t xml:space="preserve">Appel du complément de participation CPF (jusqu’à 200 €) pour les dossiers validés depuis le 2 oct. 2026, sous réserve du vote du PLF et de l’issue du référé</w:t>
            </w:r>
          </w:p>
        </w:tc>
      </w:tr>
      <w:tr>
        <w:tc>
          <w:tcPr/>
          <w:p>
            <w:pPr>
              <w:pStyle w:val="Compact"/>
              <w:jc w:val="left"/>
            </w:pPr>
            <w:r>
              <w:t xml:space="preserve">1er janv. 2028</w:t>
            </w:r>
          </w:p>
        </w:tc>
        <w:tc>
          <w:tcPr/>
          <w:p>
            <w:pPr>
              <w:pStyle w:val="Compact"/>
              <w:jc w:val="left"/>
            </w:pPr>
            <w:r>
              <w:t xml:space="preserve">Entrée en vigueur prévue du « questionnaire de projet » CPF (art. 89 PLF 2027, si voté)</w:t>
            </w:r>
          </w:p>
        </w:tc>
      </w:tr>
    </w:tbl>
    <w:bookmarkEnd w:id="57"/>
    <w:bookmarkStart w:id="58" w:name="actions-à-prévoir"/>
    <w:p>
      <w:pPr>
        <w:pStyle w:val="Heading2"/>
      </w:pPr>
      <w:r>
        <w:t xml:space="preserve">6. Actions à prévoir</w:t>
      </w:r>
    </w:p>
    <w:p>
      <w:pPr>
        <w:numPr>
          <w:ilvl w:val="0"/>
          <w:numId w:val="1001"/>
        </w:numPr>
        <w:pStyle w:val="Compact"/>
      </w:pPr>
      <w:r>
        <w:rPr>
          <w:bCs/>
          <w:b/>
        </w:rPr>
        <w:t xml:space="preserve">Avant le 22 octobre (urgentissime)</w:t>
      </w:r>
      <w:r>
        <w:t xml:space="preserve"> </w:t>
      </w:r>
      <w:r>
        <w:t xml:space="preserve">: vérifier que la saisie des blocs de compétences RNCP sur EDOF est complète pour toutes les formations certifiantes — dernière échéance avant retrait du moteur MCF.</w:t>
      </w:r>
    </w:p>
    <w:p>
      <w:pPr>
        <w:numPr>
          <w:ilvl w:val="0"/>
          <w:numId w:val="1001"/>
        </w:numPr>
        <w:pStyle w:val="Compact"/>
      </w:pPr>
      <w:r>
        <w:rPr>
          <w:bCs/>
          <w:b/>
        </w:rPr>
        <w:t xml:space="preserve">Dès le 27 octobre</w:t>
      </w:r>
      <w:r>
        <w:t xml:space="preserve"> </w:t>
      </w:r>
      <w:r>
        <w:t xml:space="preserve">: suivre quotidiennement les débats de la seconde partie du PLF 2027 (article 89) et l’éventuelle ordonnance du Conseil d’État sur les bandeaux CPF ; préparer deux scénarios de discours commercial CPF (maintien ou retrait du complément).</w:t>
      </w:r>
    </w:p>
    <w:p>
      <w:pPr>
        <w:numPr>
          <w:ilvl w:val="0"/>
          <w:numId w:val="1001"/>
        </w:numPr>
        <w:pStyle w:val="Compact"/>
      </w:pPr>
      <w:r>
        <w:t xml:space="preserve">Poursuivre l’auto-diagnostic Qualiopi V10 sur la base du décret et maintenir la vérification hebdomadaire tracée du guide de lecture et des arrêtés indicateurs 19-20 (toujours non publiés au 18 octobre).</w:t>
      </w:r>
    </w:p>
    <w:p>
      <w:pPr>
        <w:numPr>
          <w:ilvl w:val="0"/>
          <w:numId w:val="1001"/>
        </w:numPr>
        <w:pStyle w:val="Compact"/>
      </w:pPr>
      <w:r>
        <w:t xml:space="preserve">Si un dépôt RNCP/RS est envisagé : reprendre le dossier avec les notices France compétences actualisées le 15 octobre.</w:t>
      </w:r>
    </w:p>
    <w:p>
      <w:pPr>
        <w:numPr>
          <w:ilvl w:val="0"/>
          <w:numId w:val="1001"/>
        </w:numPr>
        <w:pStyle w:val="Compact"/>
      </w:pPr>
      <w:r>
        <w:t xml:space="preserve">Si activité apprentissage : surveiller la publication des NPEC définitifs post-positionnement des branches.</w:t>
      </w:r>
    </w:p>
    <w:p>
      <w:pPr>
        <w:numPr>
          <w:ilvl w:val="0"/>
          <w:numId w:val="1001"/>
        </w:numPr>
        <w:pStyle w:val="Compact"/>
      </w:pPr>
      <w:r>
        <w:t xml:space="preserve">Intégrer le risque de « désapprentissage » lié à l’IA à la charte IA interne (article EdTech Actu du 16 octobre) et inscrire les vidéos SIAFO 2026 au plan de professionnalisation.</w:t>
      </w:r>
    </w:p>
    <w:p>
      <w:pPr>
        <w:numPr>
          <w:ilvl w:val="0"/>
          <w:numId w:val="1001"/>
        </w:numPr>
        <w:pStyle w:val="Compact"/>
      </w:pPr>
      <w:r>
        <w:t xml:space="preserve">Si formats ludiques au catalogue : documenter le lien objectifs-modalités-évaluation selon le guide Digiformag du 13 octobre (preuves indicateurs 5, 24-25).</w:t>
      </w:r>
    </w:p>
    <w:p>
      <w:pPr>
        <w:numPr>
          <w:ilvl w:val="0"/>
          <w:numId w:val="1001"/>
        </w:numPr>
        <w:pStyle w:val="Compact"/>
      </w:pPr>
      <w:r>
        <w:t xml:space="preserve">Évaluer l’outil Memovia avec le référent handicap pour la compensation des apprenants dys/TDAH/basse vision (indicateur 26).</w:t>
      </w:r>
    </w:p>
    <w:p>
      <w:pPr>
        <w:numPr>
          <w:ilvl w:val="0"/>
          <w:numId w:val="1001"/>
        </w:numPr>
        <w:pStyle w:val="Compact"/>
      </w:pPr>
      <w:r>
        <w:t xml:space="preserve">Finaliser le programme SEEPH et l’inscription DuoDay ; archiver kit et replays comme preuves.</w:t>
      </w:r>
    </w:p>
    <w:p>
      <w:pPr>
        <w:numPr>
          <w:ilvl w:val="0"/>
          <w:numId w:val="1001"/>
        </w:numPr>
        <w:pStyle w:val="Compact"/>
      </w:pPr>
      <w:r>
        <w:t xml:space="preserve">Intégrer les signaux de conjoncture (retrait de l’État des Pactes régionaux, enquête Acteurs de la Compétence) à l’analyse de risques et à la stratégie de diversification des financements ; archiver la présente fiche et tracer en réunion les décisions prises (preuve d’exploitation de la veille).</w:t>
      </w:r>
    </w:p>
    <w:bookmarkEnd w:id="58"/>
    <w:bookmarkStart w:id="59" w:name="méthodologie-et-sources"/>
    <w:p>
      <w:pPr>
        <w:pStyle w:val="Heading2"/>
      </w:pPr>
      <w:r>
        <w:t xml:space="preserve">Méthodologie et sources</w:t>
      </w:r>
    </w:p>
    <w:p>
      <w:pPr>
        <w:pStyle w:val="FirstParagraph"/>
      </w:pPr>
      <w:r>
        <w:t xml:space="preserve">Veille réalisée le 19 octobre 2026 par recherche systématique sur les sources officielles et professionnelles : France compétences (publications officielles), Caisse des Dépôts / Mon Compte Formation et portail EDOF, ministère du Travail (page « Référentiel national qualité »), Légifrance/JO, Agefiph et monparcourshandicap.gouv.fr, presse et blogs spécialisés (CPFormation, AEF info via CPFormation, Digiformag, Certiforma, EdTech Actu, L’Atelier du Formateur, blog Benjamin Duplaa). Chaque information est datée et accompagnée de l’URL de sa source. Notes et limites : le site de l’Agefiph n’a pu être consulté directement cette semaine (erreurs d’accès répétées) — le volet handicap s’appuie sur des sources secondaires et sera re-vérifié la semaine prochaine ; la date de l’article Memovia est approximative (« il y a 4 jours » au 19 octobre, soit ≈ 15 octobre) ; le statut « non publié » du guide V10 et des arrêtés indicateurs 19-20 repose sur la page Certiforma mise à jour le 17 octobre (vérification au 18) ; aucune ordonnance du Conseil d’État sur le référé « bandeaux CPF » n’a été repérée dans les sources publiques au 19 octobre ; depuis la liquidation judiciaire de Centre Inffo (juillet 2026), le « Quotidien de la formation » n’alimente plus la veille.</w:t>
      </w:r>
    </w:p>
    <w:p>
      <w:pPr>
        <w:pStyle w:val="BodyText"/>
      </w:pPr>
      <w:r>
        <w:rPr>
          <w:iCs/>
          <w:i/>
        </w:rPr>
        <w:t xml:space="preserve">Fiche générée et archivée automatiquement — veille Qualiopi critère 6.</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certiforma.fr/qualiopi-v10/" TargetMode="External" /><Relationship Type="http://schemas.openxmlformats.org/officeDocument/2006/relationships/hyperlink" Id="rId21" Target="https://cpformation.com/cpf-2027-syndicats-patronat-et-of-le-front-contre-larticle-89-selargit/" TargetMode="External" /><Relationship Type="http://schemas.openxmlformats.org/officeDocument/2006/relationships/hyperlink" Id="rId47" Target="https://edtechactu.com/digital-learning/cinq-idees-recues-a-balayer-sur-le-numerique-educatif/" TargetMode="External" /><Relationship Type="http://schemas.openxmlformats.org/officeDocument/2006/relationships/hyperlink" Id="rId46" Target="https://edtechactu.com/evaluation/brio-prepare-les-etudiants-aux-oraux-grace-a-lia/" TargetMode="External" /><Relationship Type="http://schemas.openxmlformats.org/officeDocument/2006/relationships/hyperlink" Id="rId41" Target="https://edtechactu.com/evaluation/lia-peut-elle-nous-faire-perdre-nos-competences/" TargetMode="External" /><Relationship Type="http://schemas.openxmlformats.org/officeDocument/2006/relationships/hyperlink" Id="rId45" Target="https://edtechactu.com/orientation/letudiant-et-klee-group-lancent-une-ia-dediee-a-lorientation/" TargetMode="External" /><Relationship Type="http://schemas.openxmlformats.org/officeDocument/2006/relationships/hyperlink" Id="rId51" Target="https://latelierduformateur.fr/memovia-toujours-plus-accessible-pour-les-apprenants-voici-ce-qui-a-change/" TargetMode="External" /><Relationship Type="http://schemas.openxmlformats.org/officeDocument/2006/relationships/hyperlink" Id="rId48" Target="https://latelierduformateur.fr/videos-du-seminaire-intelligence-artificielle-en-formation-siafo-2026/" TargetMode="External" /><Relationship Type="http://schemas.openxmlformats.org/officeDocument/2006/relationships/hyperlink" Id="rId26" Target="https://travail-emploi.gouv.fr/referentiel-national-qualite-guide-de-lecture-qualiopi" TargetMode="External" /><Relationship Type="http://schemas.openxmlformats.org/officeDocument/2006/relationships/hyperlink" Id="rId53" Target="https://www.agefiph.fr/actualites-handicap/seeph-2026-webinaires-les-10-septembre-et-6-octobre-pour-les-activateurs-de" TargetMode="External" /><Relationship Type="http://schemas.openxmlformats.org/officeDocument/2006/relationships/hyperlink" Id="rId28" Target="https://www.benjaminduplaa.com/blog/budget-2027-nouvelle-aquitaine-places-formation" TargetMode="External" /><Relationship Type="http://schemas.openxmlformats.org/officeDocument/2006/relationships/hyperlink" Id="rId29" Target="https://www.benjaminduplaa.com/blog/formation-demande-monte-financement-recule" TargetMode="External" /><Relationship Type="http://schemas.openxmlformats.org/officeDocument/2006/relationships/hyperlink" Id="rId31" Target="https://www.digiformag.com/dpc-ce-que-larticle-33-du-plfss-2027-propose-de-changer-leclairage-de-nicolas-bardetis/" TargetMode="External" /><Relationship Type="http://schemas.openxmlformats.org/officeDocument/2006/relationships/hyperlink" Id="rId43" Target="https://www.digiformag.com/qualiopi-et-ludopedagogie-comment-prouver-quun-jeu-fait-reellement-apprendre/" TargetMode="External" /><Relationship Type="http://schemas.openxmlformats.org/officeDocument/2006/relationships/hyperlink" Id="rId34" Target="https://www.francecompetences.fr/" TargetMode="External" /><Relationship Type="http://schemas.openxmlformats.org/officeDocument/2006/relationships/hyperlink" Id="rId38" Target="https://www.legifrance.gouv.fr/loda/id/JORFTEXT000054762162/2026-09-01" TargetMode="External" /><Relationship Type="http://schemas.openxmlformats.org/officeDocument/2006/relationships/hyperlink" Id="rId36" Target="https://www.moncompteformation.gouv.fr/" TargetMode="External" /><Relationship Type="http://schemas.openxmlformats.org/officeDocument/2006/relationships/hyperlink" Id="rId23" Target="https://www.moncompteformation.gouv.fr/espace-public/evolution-des-regles-dutilisation-du-cpf-compter-du-2-octobre-2026" TargetMode="External" /><Relationship Type="http://schemas.openxmlformats.org/officeDocument/2006/relationships/hyperlink" Id="rId54" Target="https://www.monparcourshandicap.gouv.fr/actualite/duoday-2026-les-inscriptions-sont-ouvertes" TargetMode="External" /></Relationships>
</file>

<file path=word/_rels/footnotes.xml.rels><?xml version="1.0" encoding="UTF-8"?><Relationships xmlns="http://schemas.openxmlformats.org/package/2006/relationships"><Relationship Type="http://schemas.openxmlformats.org/officeDocument/2006/relationships/hyperlink" Id="rId25" Target="https://certiforma.fr/qualiopi-v10/" TargetMode="External" /><Relationship Type="http://schemas.openxmlformats.org/officeDocument/2006/relationships/hyperlink" Id="rId21" Target="https://cpformation.com/cpf-2027-syndicats-patronat-et-of-le-front-contre-larticle-89-selargit/" TargetMode="External" /><Relationship Type="http://schemas.openxmlformats.org/officeDocument/2006/relationships/hyperlink" Id="rId47" Target="https://edtechactu.com/digital-learning/cinq-idees-recues-a-balayer-sur-le-numerique-educatif/" TargetMode="External" /><Relationship Type="http://schemas.openxmlformats.org/officeDocument/2006/relationships/hyperlink" Id="rId46" Target="https://edtechactu.com/evaluation/brio-prepare-les-etudiants-aux-oraux-grace-a-lia/" TargetMode="External" /><Relationship Type="http://schemas.openxmlformats.org/officeDocument/2006/relationships/hyperlink" Id="rId41" Target="https://edtechactu.com/evaluation/lia-peut-elle-nous-faire-perdre-nos-competences/" TargetMode="External" /><Relationship Type="http://schemas.openxmlformats.org/officeDocument/2006/relationships/hyperlink" Id="rId45" Target="https://edtechactu.com/orientation/letudiant-et-klee-group-lancent-une-ia-dediee-a-lorientation/" TargetMode="External" /><Relationship Type="http://schemas.openxmlformats.org/officeDocument/2006/relationships/hyperlink" Id="rId51" Target="https://latelierduformateur.fr/memovia-toujours-plus-accessible-pour-les-apprenants-voici-ce-qui-a-change/" TargetMode="External" /><Relationship Type="http://schemas.openxmlformats.org/officeDocument/2006/relationships/hyperlink" Id="rId48" Target="https://latelierduformateur.fr/videos-du-seminaire-intelligence-artificielle-en-formation-siafo-2026/" TargetMode="External" /><Relationship Type="http://schemas.openxmlformats.org/officeDocument/2006/relationships/hyperlink" Id="rId26" Target="https://travail-emploi.gouv.fr/referentiel-national-qualite-guide-de-lecture-qualiopi" TargetMode="External" /><Relationship Type="http://schemas.openxmlformats.org/officeDocument/2006/relationships/hyperlink" Id="rId53" Target="https://www.agefiph.fr/actualites-handicap/seeph-2026-webinaires-les-10-septembre-et-6-octobre-pour-les-activateurs-de" TargetMode="External" /><Relationship Type="http://schemas.openxmlformats.org/officeDocument/2006/relationships/hyperlink" Id="rId28" Target="https://www.benjaminduplaa.com/blog/budget-2027-nouvelle-aquitaine-places-formation" TargetMode="External" /><Relationship Type="http://schemas.openxmlformats.org/officeDocument/2006/relationships/hyperlink" Id="rId29" Target="https://www.benjaminduplaa.com/blog/formation-demande-monte-financement-recule" TargetMode="External" /><Relationship Type="http://schemas.openxmlformats.org/officeDocument/2006/relationships/hyperlink" Id="rId31" Target="https://www.digiformag.com/dpc-ce-que-larticle-33-du-plfss-2027-propose-de-changer-leclairage-de-nicolas-bardetis/" TargetMode="External" /><Relationship Type="http://schemas.openxmlformats.org/officeDocument/2006/relationships/hyperlink" Id="rId43" Target="https://www.digiformag.com/qualiopi-et-ludopedagogie-comment-prouver-quun-jeu-fait-reellement-apprendre/" TargetMode="External" /><Relationship Type="http://schemas.openxmlformats.org/officeDocument/2006/relationships/hyperlink" Id="rId34" Target="https://www.francecompetences.fr/" TargetMode="External" /><Relationship Type="http://schemas.openxmlformats.org/officeDocument/2006/relationships/hyperlink" Id="rId38" Target="https://www.legifrance.gouv.fr/loda/id/JORFTEXT000054762162/2026-09-01" TargetMode="External" /><Relationship Type="http://schemas.openxmlformats.org/officeDocument/2006/relationships/hyperlink" Id="rId36" Target="https://www.moncompteformation.gouv.fr/" TargetMode="External" /><Relationship Type="http://schemas.openxmlformats.org/officeDocument/2006/relationships/hyperlink" Id="rId23" Target="https://www.moncompteformation.gouv.fr/espace-public/evolution-des-regles-dutilisation-du-cpf-compter-du-2-octobre-2026" TargetMode="External" /><Relationship Type="http://schemas.openxmlformats.org/officeDocument/2006/relationships/hyperlink" Id="rId54" Target="https://www.monparcourshandicap.gouv.fr/actualite/duoday-2026-les-inscriptions-sont-ouver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2026-10-26T05:16:49Z</dcterms:created>
  <dcterms:modified xsi:type="dcterms:W3CDTF">2026-10-26T05:16:49Z</dcterms:modified>
</cp:coreProperties>
</file>

<file path=docProps/custom.xml><?xml version="1.0" encoding="utf-8"?>
<Properties xmlns="http://schemas.openxmlformats.org/officeDocument/2006/custom-properties" xmlns:vt="http://schemas.openxmlformats.org/officeDocument/2006/docPropsVTypes"/>
</file>