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fiche-de-veille-qualiopi-critère-6"/>
    <w:p>
      <w:pPr>
        <w:pStyle w:val="Heading1"/>
      </w:pPr>
      <w:r>
        <w:t xml:space="preserve">FICHE DE VEILLE — QUALIOPI CRITÈRE 6</w:t>
      </w:r>
    </w:p>
    <w:p>
      <w:pPr>
        <w:pStyle w:val="FirstParagraph"/>
      </w:pPr>
      <w:r>
        <w:rPr>
          <w:iCs/>
          <w:i/>
        </w:rPr>
        <w:t xml:space="preserve">Veille légale, réglementaire, métiers, pédagogique et handicap (indicateurs 23 à 26)</w:t>
      </w:r>
    </w:p>
    <w:p>
      <w:pPr>
        <w:pStyle w:val="BodyText"/>
      </w:pPr>
      <w:r>
        <w:rPr>
          <w:bCs/>
          <w:b/>
        </w:rPr>
        <w:t xml:space="preserve">Fiche n° 2026-08 • Réalisée le 26 octobre 2026 • Période couverte : 20 – 26 octobre 2026</w:t>
      </w:r>
    </w:p>
    <w:p>
      <w:pPr>
        <w:pStyle w:val="BodyText"/>
      </w:pPr>
      <w:r>
        <w:rPr>
          <w:bCs/>
          <w:b/>
        </w:rPr>
        <w:t xml:space="preserve">Organisme :</w:t>
      </w:r>
      <w:r>
        <w:t xml:space="preserve"> </w:t>
      </w:r>
      <w:r>
        <w:t xml:space="preserve">________________________</w:t>
      </w:r>
      <w:r>
        <w:t xml:space="preserve"> </w:t>
      </w:r>
      <w:r>
        <w:rPr>
          <w:bCs/>
          <w:b/>
        </w:rPr>
        <w:t xml:space="preserve">Visa du responsable :</w:t>
      </w:r>
      <w:r>
        <w:t xml:space="preserve"> </w:t>
      </w:r>
      <w:r>
        <w:t xml:space="preserve">____________</w:t>
      </w:r>
    </w:p>
    <w:bookmarkStart w:id="20" w:name="à-la-une-le-fait-marquant-de-la-période"/>
    <w:p>
      <w:pPr>
        <w:pStyle w:val="Heading2"/>
      </w:pPr>
      <w:r>
        <w:t xml:space="preserve">À la une — le fait marquant de la période</w:t>
      </w:r>
    </w:p>
    <w:p>
      <w:pPr>
        <w:pStyle w:val="FirstParagraph"/>
      </w:pPr>
      <w:r>
        <w:rPr>
          <w:bCs/>
          <w:b/>
        </w:rPr>
        <w:t xml:space="preserve">Qualiopi V10 à J-6 : le référentiel à 33 indicateurs entre en vigueur dimanche 1er novembre, et ni le guide de lecture V10 ni les arrêtés des indicateurs 19 et 20 n’étaient publiés en fin de période.</w:t>
      </w:r>
      <w:r>
        <w:t xml:space="preserve"> </w:t>
      </w:r>
      <w:r>
        <w:t xml:space="preserve">La dernière vérification sourcée disponible (page Certiforma mise à jour le 19 octobre, re-consultée le 26) confirme que le guide V9 reste le seul applicable jusqu’au 31 octobre et que les seuils des indicateurs 19 (référent pédagogique) et 20 (intervenants permanents) restent sans arrêté ; aucune annonce de publication n’a été repérée dans les sources publiques entre le 20 et le 26 octobre. Les organismes basculeront donc sur le nouveau référentiel sur la seule base du décret n° 2026-728. Dans le même temps, la semaine a été dominée par le décryptage du Jaune budgétaire « Formation professionnelle » : le budget CPF fond de 456 M€ (-25 %) en 2026 et l’État ne versera plus rien à France compétences en 2027 — à la veille de l’examen en séance de l’article 89 du PLF 2027 (CPF), qui s’ouvre le 27 octobre.</w:t>
      </w:r>
    </w:p>
    <w:bookmarkEnd w:id="20"/>
    <w:bookmarkStart w:id="34" w:name="X5876ee4bbe0bd103dff81c4f15b870aca873b7a"/>
    <w:p>
      <w:pPr>
        <w:pStyle w:val="Heading2"/>
      </w:pPr>
      <w:r>
        <w:t xml:space="preserve">1. Veille légale et réglementaire (indicateur 23)</w:t>
      </w:r>
    </w:p>
    <w:bookmarkStart w:id="23" w:name="Xb9d0914f7c6c21651c7a7d64688ee4b51ab66e9"/>
    <w:p>
      <w:pPr>
        <w:pStyle w:val="Heading3"/>
      </w:pPr>
      <w:r>
        <w:t xml:space="preserve">Qualiopi V10 à J-6 : guide de lecture et arrêtés indicateurs 19-20 toujours non publiés, bascule au 1er novembre sur la seule base du décret</w:t>
      </w:r>
    </w:p>
    <w:p>
      <w:pPr>
        <w:pStyle w:val="FirstParagraph"/>
      </w:pPr>
      <w:r>
        <w:rPr>
          <w:bCs/>
          <w:b/>
        </w:rPr>
        <w:t xml:space="preserve">19-26/10/2026</w:t>
      </w:r>
      <w:r>
        <w:t xml:space="preserve"> </w:t>
      </w:r>
      <w:r>
        <w:t xml:space="preserve">— Certiforma (page mise à jour le 19 octobre, re-vérifiée le 26) / ministère du Travail</w:t>
      </w:r>
    </w:p>
    <w:p>
      <w:pPr>
        <w:pStyle w:val="BodyText"/>
      </w:pPr>
      <w:r>
        <w:t xml:space="preserve">À six jours de l’entrée en vigueur du référentiel à 33 indicateurs (décret n° 2026-728 du 1er août 2026, applicable au 1er novembre 2026), le guide de lecture V10 n’est pas publié (le V9 du 8 janvier 2024 reste applicable jusqu’au 31 octobre) et les deux arrêtés attendus sur l’indicateur 19 (seuil déclenchant l’obligation d’un référent pédagogique par formation) et l’indicateur 20 (seuil de proportion d’heures assurées par des intervenants permanents) manquent toujours. Aucune publication n’a été repérée au JO ni annoncée sur la page ministérielle du 20 au 26 octobre (la page travail-emploi.gouv.fr n’a pu être consultée directement cette semaine — accès entravé ; statut établi via sources secondaires). Rappel : les audits réalisés jusqu’au 31 octobre inclus se font sur l’ancien référentiel (32 indicateurs).</w:t>
      </w:r>
    </w:p>
    <w:p>
      <w:pPr>
        <w:pStyle w:val="BodyText"/>
      </w:pPr>
      <w:r>
        <w:rPr>
          <w:iCs/>
          <w:i/>
        </w:rPr>
        <w:t xml:space="preserve">Impact pour l’organisme : la bascule du 1er novembre se fera selon toute vraisemblance sans guide de lecture — finaliser cette semaine l’auto-diagnostic V10 sur la base du seul décret (allégations publiques, sous-traitance, traçabilité du distanciel en priorité hors CFA) ; tracer la vérification de cette semaine dans le registre de veille (preuve indicateur 23) et prévoir une revue express dès parution du guide V10 et des arrêtés, qui pourraient désormais paraître après l’entrée en vigueur.</w:t>
      </w:r>
    </w:p>
    <w:p>
      <w:pPr>
        <w:pStyle w:val="BodyText"/>
      </w:pPr>
      <w:r>
        <w:t xml:space="preserve">Source :</w:t>
      </w:r>
      <w:r>
        <w:t xml:space="preserve"> </w:t>
      </w:r>
      <w:hyperlink r:id="rId21">
        <w:r>
          <w:rPr>
            <w:rStyle w:val="Hyperlink"/>
          </w:rPr>
          <w:t xml:space="preserve">https://certiforma.fr/qualiopi-v10/</w:t>
        </w:r>
      </w:hyperlink>
      <w:r>
        <w:t xml:space="preserve"> </w:t>
      </w:r>
      <w:r>
        <w:t xml:space="preserve">•</w:t>
      </w:r>
      <w:r>
        <w:t xml:space="preserve"> </w:t>
      </w:r>
      <w:hyperlink r:id="rId22">
        <w:r>
          <w:rPr>
            <w:rStyle w:val="Hyperlink"/>
          </w:rPr>
          <w:t xml:space="preserve">https://travail-emploi.gouv.fr/referentiel-national-qualite-guide-de-lecture-qualiopi</w:t>
        </w:r>
      </w:hyperlink>
    </w:p>
    <w:bookmarkEnd w:id="23"/>
    <w:bookmarkStart w:id="25" w:name="Xe7e345ac67a2a968b849fe760c7e11983daeae9"/>
    <w:p>
      <w:pPr>
        <w:pStyle w:val="Heading3"/>
      </w:pPr>
      <w:r>
        <w:t xml:space="preserve">Jaune budgétaire 2027 décrypté (1/2) : le budget CPF fond d’un quart en 2026 (-456 M€)</w:t>
      </w:r>
    </w:p>
    <w:p>
      <w:pPr>
        <w:pStyle w:val="FirstParagraph"/>
      </w:pPr>
      <w:r>
        <w:rPr>
          <w:bCs/>
          <w:b/>
        </w:rPr>
        <w:t xml:space="preserve">22/10/2026</w:t>
      </w:r>
      <w:r>
        <w:t xml:space="preserve"> </w:t>
      </w:r>
      <w:r>
        <w:t xml:space="preserve">— CPFormation (d’après le Jaune budgétaire « Formation professionnelle » publié le 13 octobre)</w:t>
      </w:r>
    </w:p>
    <w:p>
      <w:pPr>
        <w:pStyle w:val="BodyText"/>
      </w:pPr>
      <w:r>
        <w:t xml:space="preserve">France compétences versera 1 359 M€ à la Caisse des Dépôts en 2026 pour financer le CPF, contre 1 815 M€ en 2025 : -456 M€, soit -25 %. Près de 900 M€ d’économies sont attendues en 2026 par rapport à la tendance. Les dossiers CPF ont chuté de 40 % depuis le pic de 2021, sous l’effet cumulé des mesures anti-fraude (2022), du reste à charge de 100 € (mai 2024) porté à 150 € (avril 2026), de l’exclusion des formations non certifiantes à la création d’entreprise (février 2025), des plafonds de prise en charge 2026 (1 500 € pour les certifications RS, 900 € pour le permis B, 1 600 € pour le bilan de compétences) et du conditionnement du financement à l’assiduité (loi de juin 2026). La part payée par les titulaires atteint 7,1 % en 2025 (3 % en 2023) ; les demandeurs d’emploi représentent 42 % des bénéficiaires.</w:t>
      </w:r>
    </w:p>
    <w:p>
      <w:pPr>
        <w:pStyle w:val="BodyText"/>
      </w:pPr>
      <w:r>
        <w:rPr>
          <w:iCs/>
          <w:i/>
        </w:rPr>
        <w:t xml:space="preserve">Impact pour l’organisme : la contraction du CPF est structurelle et s’accélérera si l’article 89 du PLF 2027 est voté — réviser les prévisions d’activité CPF 2027 à la baisse et accélérer la diversification (OPCO, plan de développement des compétences des entreprises, fonds propres) ; cibler les certifications RNCP/RS à forte valeur, vers lesquelles la demande solvable se concentre.</w:t>
      </w:r>
    </w:p>
    <w:p>
      <w:pPr>
        <w:pStyle w:val="BodyText"/>
      </w:pPr>
      <w:r>
        <w:t xml:space="preserve">Source :</w:t>
      </w:r>
      <w:r>
        <w:t xml:space="preserve"> </w:t>
      </w:r>
      <w:hyperlink r:id="rId24">
        <w:r>
          <w:rPr>
            <w:rStyle w:val="Hyperlink"/>
          </w:rPr>
          <w:t xml:space="preserve">https://cpformation.com/cpf-456-millions-deuros-en-moins-le-budget-fond-dun-quart-en-2026/</w:t>
        </w:r>
      </w:hyperlink>
    </w:p>
    <w:bookmarkEnd w:id="25"/>
    <w:bookmarkStart w:id="27" w:name="Xada05d59d2073cbc40be330199911513b76493b"/>
    <w:p>
      <w:pPr>
        <w:pStyle w:val="Heading3"/>
      </w:pPr>
      <w:r>
        <w:t xml:space="preserve">Jaune budgétaire 2027 décrypté (2/2) : l’État coupe le robinet — zéro euro pour France compétences en 2027</w:t>
      </w:r>
    </w:p>
    <w:p>
      <w:pPr>
        <w:pStyle w:val="FirstParagraph"/>
      </w:pPr>
      <w:r>
        <w:rPr>
          <w:bCs/>
          <w:b/>
        </w:rPr>
        <w:t xml:space="preserve">21/10/2026</w:t>
      </w:r>
      <w:r>
        <w:t xml:space="preserve"> </w:t>
      </w:r>
      <w:r>
        <w:t xml:space="preserve">— CPFormation</w:t>
      </w:r>
    </w:p>
    <w:p>
      <w:pPr>
        <w:pStyle w:val="BodyText"/>
      </w:pPr>
      <w:r>
        <w:t xml:space="preserve">Selon le PLF 2027, la dotation de l’État à France compétences tombera à 0 € en 2027, après 4 Md€ en 2022, 1 596 M€ en 2023, 1 350 M€ en 2024, 850 M€ en 2025 et 472 M€ en 2026. Les contributions des entreprises (Cufpa, 10,9 Md€ en 2025) couvrent désormais 100 % des dépenses, prévues à 12,2 Md€ en 2026 (-22 % par rapport aux 15,6 Md€ de 2022), dont environ 68 % pour l’alternance. Un excédent comptable de 518 M€ est attendu en 2026, mais la trésorerie est négative depuis août 2025 (jusqu’à -1,6 Md€ fin 2026) et la dette accumulée avoisine 10 Md€. Économies déjà actées : reste à charge et plafonds CPF, règles apprentissage durcies, aide aux CFA ramenée de 318 à 33 M€, enveloppe demandeurs d’emploi de 800 à 527 M€, frais de gestion des OPCO réduits.</w:t>
      </w:r>
    </w:p>
    <w:p>
      <w:pPr>
        <w:pStyle w:val="BodyText"/>
      </w:pPr>
      <w:r>
        <w:rPr>
          <w:iCs/>
          <w:i/>
        </w:rPr>
        <w:t xml:space="preserve">Impact pour l’organisme : sans filet de sécurité étatique, toute dépense nouvelle du système devra être compensée ailleurs — le CPF et l’alternance restent les premières variables d’ajustement ; intégrer ce cadrage pluriannuel à l’analyse de risques financière de l’organisme et sécuriser les relais de financement privés (entreprises, inter-entreprises, B2C).</w:t>
      </w:r>
    </w:p>
    <w:p>
      <w:pPr>
        <w:pStyle w:val="BodyText"/>
      </w:pPr>
      <w:r>
        <w:t xml:space="preserve">Source :</w:t>
      </w:r>
      <w:r>
        <w:t xml:space="preserve"> </w:t>
      </w:r>
      <w:hyperlink r:id="rId26">
        <w:r>
          <w:rPr>
            <w:rStyle w:val="Hyperlink"/>
          </w:rPr>
          <w:t xml:space="preserve">https://cpformation.com/france-competences-letat-coupe-le-robinet-zero-euro-en-2027/</w:t>
        </w:r>
      </w:hyperlink>
    </w:p>
    <w:bookmarkEnd w:id="27"/>
    <w:bookmarkStart w:id="29" w:name="Xe44ece41fa9fc47c00eaedf4c4fc6a635672bda"/>
    <w:p>
      <w:pPr>
        <w:pStyle w:val="Heading3"/>
      </w:pPr>
      <w:r>
        <w:t xml:space="preserve">Mon Compte Formation : depuis le 22 octobre, l’employeur peut flécher une dotation volontaire vers 5 certifications</w:t>
      </w:r>
    </w:p>
    <w:p>
      <w:pPr>
        <w:pStyle w:val="FirstParagraph"/>
      </w:pPr>
      <w:r>
        <w:rPr>
          <w:bCs/>
          <w:b/>
        </w:rPr>
        <w:t xml:space="preserve">22/10/2026</w:t>
      </w:r>
      <w:r>
        <w:t xml:space="preserve"> </w:t>
      </w:r>
      <w:r>
        <w:t xml:space="preserve">— CPFormation (mise à jour des CGU Mon Compte Formation dans la nuit du 21 au 22 octobre)</w:t>
      </w:r>
    </w:p>
    <w:p>
      <w:pPr>
        <w:pStyle w:val="BodyText"/>
      </w:pPr>
      <w:r>
        <w:t xml:space="preserve">Les conditions générales d’utilisation de Mon Compte Formation (article 5.1.1) permettent désormais à un employeur de flécher une dotation volontaire vers jusqu’à cinq certifications (une seule mobilisable par le salarié), via l’espace employeurs EDEF de la Caisse des Dépôts. L’employeur peut modifier la sélection tant que la dotation n’est pas mobilisée, fixe une échéance d’au moins un an et récupère les sommes non consommées. Le principe du fléchage venait du décret du 14 avril 2025 ; la nouvelle rédaction élargit la marge de manœuvre. Les certifications doivent être éligibles au CPF (RNCP ou RS, en cours de validité). L’employeur ne peut pas imposer d’organisme — il peut seulement en recommander. Pour mémoire, environ 9 000 entreprises ont versé des dotations volontaires entre 2020 et 2023 (≈ 62 M€).</w:t>
      </w:r>
    </w:p>
    <w:p>
      <w:pPr>
        <w:pStyle w:val="BodyText"/>
      </w:pPr>
      <w:r>
        <w:rPr>
          <w:iCs/>
          <w:i/>
        </w:rPr>
        <w:t xml:space="preserve">Impact pour l’organisme : opportunité commerciale concrète dans un marché CPF en contraction — proposer aux entreprises clientes des « packs dotation fléchée » adossés aux certifications du catalogue ; vérifier la validité RNCP/RS de chaque certification proposée (une certification expirée bloque la dotation) ; soigner les évaluations clients, les DRH étant invités à constituer des catalogues de prestataires de confiance.</w:t>
      </w:r>
    </w:p>
    <w:p>
      <w:pPr>
        <w:pStyle w:val="BodyText"/>
      </w:pPr>
      <w:r>
        <w:t xml:space="preserve">Source :</w:t>
      </w:r>
      <w:r>
        <w:t xml:space="preserve"> </w:t>
      </w:r>
      <w:hyperlink r:id="rId28">
        <w:r>
          <w:rPr>
            <w:rStyle w:val="Hyperlink"/>
          </w:rPr>
          <w:t xml:space="preserve">https://cpformation.com/cpf-flecher-votre-dotation-employeur-vers-5-certifications-mode-demploi/</w:t>
        </w:r>
      </w:hyperlink>
    </w:p>
    <w:bookmarkEnd w:id="29"/>
    <w:bookmarkStart w:id="33" w:name="X2d398560da4b07836b455cb249c3df4d2ded3a5"/>
    <w:p>
      <w:pPr>
        <w:pStyle w:val="Heading3"/>
      </w:pPr>
      <w:r>
        <w:t xml:space="preserve">PLF 2027 / article 89 (CPF) : l’examen en séance s’ouvre le 27 octobre ; toujours pas d’ordonnance connue sur le référé « bandeaux »</w:t>
      </w:r>
    </w:p>
    <w:p>
      <w:pPr>
        <w:pStyle w:val="FirstParagraph"/>
      </w:pPr>
      <w:r>
        <w:rPr>
          <w:bCs/>
          <w:b/>
        </w:rPr>
        <w:t xml:space="preserve">suivi au 26/10/2026</w:t>
      </w:r>
      <w:r>
        <w:t xml:space="preserve"> </w:t>
      </w:r>
      <w:r>
        <w:t xml:space="preserve">— Assemblée nationale / CPFormation</w:t>
      </w:r>
    </w:p>
    <w:p>
      <w:pPr>
        <w:pStyle w:val="BodyText"/>
      </w:pPr>
      <w:r>
        <w:t xml:space="preserve">L’examen en séance publique de la seconde partie du PLF 2027, dont l’article 89 (reste à charge CPF pouvant atteindre 350 €, régulation des formations « non prioritaires », rétroactivité aux demandes depuis le 1er octobre), est programmé du 27 octobre au 16 novembre. Le front contre l’article (FO, CGT, CFDT, Medef, Les Acteurs de la Compétence, Synofdes, région Occitanie) reste constitué ; journée de mobilisation CGT annoncée le 5 novembre. Aucune ordonnance du Conseil d’État sur le référé contre les « bandeaux 200 € » de Mon Compte Formation (déposé mi-octobre par Les Acteurs de la Compétence et le Synofdes) n’a été repérée dans les sources publiques au 26 octobre ; en droit positif, la participation obligatoire reste de 150 € et les bandeaux restent en ligne.</w:t>
      </w:r>
    </w:p>
    <w:p>
      <w:pPr>
        <w:pStyle w:val="BodyText"/>
      </w:pPr>
      <w:r>
        <w:rPr>
          <w:iCs/>
          <w:i/>
        </w:rPr>
        <w:t xml:space="preserve">Impact pour l’organisme : semaine décisive — suivre quotidiennement les débats dès le 27 octobre (amendements de suppression, rétroactivité, demandeurs d’emploi) et l’éventuelle ordonnance du Conseil d’État ; maintenir les deux scénarios de discours commercial CPF préparés la semaine passée et l’information transparente des stagiaires sur le complément éventuel (critère 1).</w:t>
      </w:r>
    </w:p>
    <w:p>
      <w:pPr>
        <w:pStyle w:val="BodyText"/>
      </w:pPr>
      <w:r>
        <w:t xml:space="preserve">Source :</w:t>
      </w:r>
      <w:r>
        <w:t xml:space="preserve"> </w:t>
      </w:r>
      <w:hyperlink r:id="rId30">
        <w:r>
          <w:rPr>
            <w:rStyle w:val="Hyperlink"/>
          </w:rPr>
          <w:t xml:space="preserve">https://cpformation.com/cpf-2027-syndicats-patronat-et-of-le-front-contre-larticle-89-selargit/</w:t>
        </w:r>
      </w:hyperlink>
      <w:r>
        <w:t xml:space="preserve"> </w:t>
      </w:r>
      <w:r>
        <w:t xml:space="preserve">•</w:t>
      </w:r>
      <w:r>
        <w:t xml:space="preserve"> </w:t>
      </w:r>
      <w:hyperlink r:id="rId31">
        <w:r>
          <w:rPr>
            <w:rStyle w:val="Hyperlink"/>
          </w:rPr>
          <w:t xml:space="preserve">https://cpformation.com/bandeau-cpf-une-loi-qui-nexiste-pas-la-filiere-saisit-le-conseil-detat/</w:t>
        </w:r>
      </w:hyperlink>
      <w:r>
        <w:t xml:space="preserve"> </w:t>
      </w:r>
      <w:r>
        <w:t xml:space="preserve">•</w:t>
      </w:r>
      <w:r>
        <w:t xml:space="preserve"> </w:t>
      </w:r>
      <w:hyperlink r:id="rId32">
        <w:r>
          <w:rPr>
            <w:rStyle w:val="Hyperlink"/>
          </w:rPr>
          <w:t xml:space="preserve">https://www.moncompteformation.gouv.fr/espace-public/evolution-des-regles-dutilisation-du-cpf-compter-du-2-octobre-2026</w:t>
        </w:r>
      </w:hyperlink>
    </w:p>
    <w:bookmarkEnd w:id="33"/>
    <w:bookmarkEnd w:id="34"/>
    <w:bookmarkStart w:id="41" w:name="Xbb6cb3fc6155c3b4882d70d43cd43887fab2960"/>
    <w:p>
      <w:pPr>
        <w:pStyle w:val="Heading2"/>
      </w:pPr>
      <w:r>
        <w:t xml:space="preserve">2. Veille métiers, compétences et certifications (indicateur 23)</w:t>
      </w:r>
    </w:p>
    <w:bookmarkStart w:id="37" w:name="X49c5b23247b33fdaf55f408049b4efa335176b0"/>
    <w:p>
      <w:pPr>
        <w:pStyle w:val="Heading3"/>
      </w:pPr>
      <w:r>
        <w:t xml:space="preserve">NPEC apprentissage : le référentiel unique actualisé (post-positionnement des branches) est en ligne</w:t>
      </w:r>
    </w:p>
    <w:p>
      <w:pPr>
        <w:pStyle w:val="FirstParagraph"/>
      </w:pPr>
      <w:r>
        <w:rPr>
          <w:bCs/>
          <w:b/>
        </w:rPr>
        <w:t xml:space="preserve">19/10/2026</w:t>
      </w:r>
      <w:r>
        <w:t xml:space="preserve"> </w:t>
      </w:r>
      <w:r>
        <w:t xml:space="preserve">— France compétences (référentiel mis à jour le 16 octobre, publié le 19)</w:t>
      </w:r>
    </w:p>
    <w:p>
      <w:pPr>
        <w:pStyle w:val="BodyText"/>
      </w:pPr>
      <w:r>
        <w:t xml:space="preserve">France compétences a mis en ligne la version actualisée du référentiel unique des niveaux de prise en charge (NPEC) des contrats d’apprentissage « 1er septembre 2026 », mise à jour du 16 octobre 2026 — la première intégrant les résultats du positionnement des branches clos le 8 octobre (mécanisme du décret n° 2026-411). Cette publication était attendue depuis la mi-octobre (cf. fiche 2026-07) : les valeurs applicables aux contrats conclus depuis le 1er septembre 2026 sont donc désormais consolidées.</w:t>
      </w:r>
    </w:p>
    <w:p>
      <w:pPr>
        <w:pStyle w:val="BodyText"/>
      </w:pPr>
      <w:r>
        <w:rPr>
          <w:iCs/>
          <w:i/>
        </w:rPr>
        <w:t xml:space="preserve">Impact pour l’organisme (si activité apprentissage) : télécharger le référentiel du 16 octobre, vérifier les NPEC de chaque certification au catalogue et répercuter immédiatement les valeurs dans les budgets et conventions des contrats conclus depuis le 1er septembre ; archiver la version datée comme preuve de veille (indicateur 23).</w:t>
      </w:r>
    </w:p>
    <w:p>
      <w:pPr>
        <w:pStyle w:val="BodyText"/>
      </w:pPr>
      <w:r>
        <w:t xml:space="preserve">Source :</w:t>
      </w:r>
      <w:r>
        <w:t xml:space="preserve"> </w:t>
      </w:r>
      <w:hyperlink r:id="rId35">
        <w:r>
          <w:rPr>
            <w:rStyle w:val="Hyperlink"/>
          </w:rPr>
          <w:t xml:space="preserve">https://www.francecompetences.fr/app/uploads/2026/10/Referentiel-unique-des-NPEC-1er-septembre-2026_maj16.10.26.zip</w:t>
        </w:r>
      </w:hyperlink>
      <w:r>
        <w:t xml:space="preserve"> </w:t>
      </w:r>
      <w:r>
        <w:t xml:space="preserve">•</w:t>
      </w:r>
      <w:r>
        <w:t xml:space="preserve"> </w:t>
      </w:r>
      <w:hyperlink r:id="rId36">
        <w:r>
          <w:rPr>
            <w:rStyle w:val="Hyperlink"/>
          </w:rPr>
          <w:t xml:space="preserve">https://www.francecompetences.fr/</w:t>
        </w:r>
      </w:hyperlink>
    </w:p>
    <w:bookmarkEnd w:id="37"/>
    <w:bookmarkStart w:id="40" w:name="Xca64d1f5cb40cb64c4d0dae751b03211e54e6dc"/>
    <w:p>
      <w:pPr>
        <w:pStyle w:val="Heading3"/>
      </w:pPr>
      <w:r>
        <w:t xml:space="preserve">Rappel : notices RNCP et RS actualisées du 15 octobre, cadre des prochains dépôts</w:t>
      </w:r>
    </w:p>
    <w:p>
      <w:pPr>
        <w:pStyle w:val="FirstParagraph"/>
      </w:pPr>
      <w:r>
        <w:rPr>
          <w:bCs/>
          <w:b/>
        </w:rPr>
        <w:t xml:space="preserve">15/10/2026 (rappel)</w:t>
      </w:r>
      <w:r>
        <w:t xml:space="preserve"> </w:t>
      </w:r>
      <w:r>
        <w:t xml:space="preserve">— France compétences</w:t>
      </w:r>
    </w:p>
    <w:p>
      <w:pPr>
        <w:pStyle w:val="BodyText"/>
      </w:pPr>
      <w:r>
        <w:t xml:space="preserve">Pour mémoire (signalées en fiche 2026-07), les notices d’aide au dépôt RNCP et RS actualisées le 15 octobre restent les documents de référence pour tout dépôt ou renouvellement devant la commission de la certification professionnelle renouvelée par l’arrêté du 6 octobre. Aucune autre publication « certification » de France compétences n’a été repérée sur la période du 20 au 26 octobre.</w:t>
      </w:r>
    </w:p>
    <w:p>
      <w:pPr>
        <w:pStyle w:val="BodyText"/>
      </w:pPr>
      <w:r>
        <w:rPr>
          <w:iCs/>
          <w:i/>
        </w:rPr>
        <w:t xml:space="preserve">Impact pour l’organisme : si un dossier RNCP/RS est en préparation, travailler exclusivement sur les notices d’octobre 2026 ; sinon, simple point de suivi.</w:t>
      </w:r>
    </w:p>
    <w:p>
      <w:pPr>
        <w:pStyle w:val="BodyText"/>
      </w:pPr>
      <w:r>
        <w:t xml:space="preserve">Source :</w:t>
      </w:r>
      <w:r>
        <w:t xml:space="preserve"> </w:t>
      </w:r>
      <w:hyperlink r:id="rId38">
        <w:r>
          <w:rPr>
            <w:rStyle w:val="Hyperlink"/>
          </w:rPr>
          <w:t xml:space="preserve">https://www.francecompetences.fr/app/uploads/2026/10/Notice_aide_RNCP_102026.pdf</w:t>
        </w:r>
      </w:hyperlink>
      <w:r>
        <w:t xml:space="preserve"> </w:t>
      </w:r>
      <w:r>
        <w:t xml:space="preserve">•</w:t>
      </w:r>
      <w:r>
        <w:t xml:space="preserve"> </w:t>
      </w:r>
      <w:hyperlink r:id="rId39">
        <w:r>
          <w:rPr>
            <w:rStyle w:val="Hyperlink"/>
          </w:rPr>
          <w:t xml:space="preserve">https://www.francecompetences.fr/app/uploads/2026/10/Notice_aide_RS_102026.pdf</w:t>
        </w:r>
      </w:hyperlink>
    </w:p>
    <w:bookmarkEnd w:id="40"/>
    <w:bookmarkEnd w:id="41"/>
    <w:bookmarkStart w:id="51" w:name="X406fcec4051a43c8b194b898d8715cc68458b80"/>
    <w:p>
      <w:pPr>
        <w:pStyle w:val="Heading2"/>
      </w:pPr>
      <w:r>
        <w:t xml:space="preserve">3. Veille sur les innovations pédagogiques et technologiques (indicateurs 24-25)</w:t>
      </w:r>
    </w:p>
    <w:bookmarkStart w:id="43" w:name="Xe5a084ea36d14644966a9154de94c7e79ca18a2"/>
    <w:p>
      <w:pPr>
        <w:pStyle w:val="Heading3"/>
      </w:pPr>
      <w:r>
        <w:t xml:space="preserve">« L’évolution des métiers de la pédagogie d’ici à 2035 » : la valeur se déplace du contenu vers la relation</w:t>
      </w:r>
    </w:p>
    <w:p>
      <w:pPr>
        <w:pStyle w:val="FirstParagraph"/>
      </w:pPr>
      <w:r>
        <w:rPr>
          <w:bCs/>
          <w:b/>
        </w:rPr>
        <w:t xml:space="preserve">22/10/2026</w:t>
      </w:r>
      <w:r>
        <w:t xml:space="preserve"> </w:t>
      </w:r>
      <w:r>
        <w:t xml:space="preserve">— Digiformag (Johann Vidalenc)</w:t>
      </w:r>
    </w:p>
    <w:p>
      <w:pPr>
        <w:pStyle w:val="BodyText"/>
      </w:pPr>
      <w:r>
        <w:t xml:space="preserve">Article prospectif : les métiers de la pédagogie ne disparaîtront pas d’ici 2035 mais se déplaceront — la production de contenu formalisable (supports, quiz, déroulés) sera largement déléguée à l’IA générative, tandis que la relation, l’arbitrage et le sens deviendront le cœur de la valeur. Le formateur évolue vers un rôle d’« animateur augmenté » centré sur l’accompagnement et la dynamique de groupe ; les experts métiers deviennent un vivier stratégique ; les fonctions administratives sont les plus exposées. Enjeux pour les organismes (branche vieillissante, très petites structures) : former les équipes à l’IA, sécuriser les reconversions, développer les compétences liées à la donnée.</w:t>
      </w:r>
    </w:p>
    <w:p>
      <w:pPr>
        <w:pStyle w:val="BodyText"/>
      </w:pPr>
      <w:r>
        <w:rPr>
          <w:iCs/>
          <w:i/>
        </w:rPr>
        <w:t xml:space="preserve">Impact pour l’organisme : nourrir le plan de professionnalisation des formateurs (indicateurs 21-22) et la réflexion sur l’évolution de l’offre (indicateurs 24-25) ; à croiser avec la charte IA interne en cours (cf. fiches 2026-05 à 2026-07).</w:t>
      </w:r>
    </w:p>
    <w:p>
      <w:pPr>
        <w:pStyle w:val="BodyText"/>
      </w:pPr>
      <w:r>
        <w:t xml:space="preserve">Source :</w:t>
      </w:r>
      <w:r>
        <w:t xml:space="preserve"> </w:t>
      </w:r>
      <w:hyperlink r:id="rId42">
        <w:r>
          <w:rPr>
            <w:rStyle w:val="Hyperlink"/>
          </w:rPr>
          <w:t xml:space="preserve">https://www.digiformag.com/levolution-des-metiers-de-la-pedagogie-dici-a-2035/</w:t>
        </w:r>
      </w:hyperlink>
    </w:p>
    <w:bookmarkEnd w:id="43"/>
    <w:bookmarkStart w:id="48" w:name="Xd897dbbf4ebbbffe2ff52b6853fb48636de3fd0"/>
    <w:p>
      <w:pPr>
        <w:pStyle w:val="Heading3"/>
      </w:pPr>
      <w:r>
        <w:t xml:space="preserve">EdTech Actu : l’IA ne remplace pas l’expertise pédagogique ; l’apprentissage informel comme levier</w:t>
      </w:r>
    </w:p>
    <w:p>
      <w:pPr>
        <w:pStyle w:val="FirstParagraph"/>
      </w:pPr>
      <w:r>
        <w:rPr>
          <w:bCs/>
          <w:b/>
        </w:rPr>
        <w:t xml:space="preserve">20-23/10/2026</w:t>
      </w:r>
      <w:r>
        <w:t xml:space="preserve"> </w:t>
      </w:r>
      <w:r>
        <w:t xml:space="preserve">— EdTech Actu</w:t>
      </w:r>
    </w:p>
    <w:p>
      <w:pPr>
        <w:pStyle w:val="BodyText"/>
      </w:pPr>
      <w:r>
        <w:t xml:space="preserve">Trois publications utiles cette semaine : « L’IA ne fait pas disparaître le besoin d’expertise pédagogique » (22 octobre), qui prolonge le débat sur le « deskilling » ouvert la semaine passée en rappelant que l’IA ne se substitue pas aux compétences pédagogiques ; « 5 conseils pour tirer profit de l’apprentissage invisible » (21 octobre), sur l’exploitation pédagogique des apprentissages informels ; et un entretien avec Pierre Robert (Epitech), « Aider, c’est voler un apprentissage » (23 octobre), sur la juste posture d’accompagnement. À noter aussi, côté ressources : la saison 2 du podcast « Perspectives » du Cned consacrée aux transformations de la formation (20 octobre).</w:t>
      </w:r>
    </w:p>
    <w:p>
      <w:pPr>
        <w:pStyle w:val="BodyText"/>
      </w:pPr>
      <w:r>
        <w:rPr>
          <w:iCs/>
          <w:i/>
        </w:rPr>
        <w:t xml:space="preserve">Impact pour l’organisme : arguments et ressources pour positionner l’IA en appui (et non en substitut) dans les parcours — à intégrer à la charte IA et aux scénarios pédagogiques (indicateurs 24-25) ; l’apprentissage informel peut enrichir les modalités AFEST et multimodales.</w:t>
      </w:r>
    </w:p>
    <w:p>
      <w:pPr>
        <w:pStyle w:val="BodyText"/>
      </w:pPr>
      <w:r>
        <w:t xml:space="preserve">Source :</w:t>
      </w:r>
      <w:r>
        <w:t xml:space="preserve"> </w:t>
      </w:r>
      <w:hyperlink r:id="rId44">
        <w:r>
          <w:rPr>
            <w:rStyle w:val="Hyperlink"/>
          </w:rPr>
          <w:t xml:space="preserve">https://edtechactu.com/evaluation/lia-ne-fait-pas-disparaitre-le-besoin-dexpertise-pedagogique/</w:t>
        </w:r>
      </w:hyperlink>
      <w:r>
        <w:t xml:space="preserve"> </w:t>
      </w:r>
      <w:r>
        <w:t xml:space="preserve">•</w:t>
      </w:r>
      <w:r>
        <w:t xml:space="preserve"> </w:t>
      </w:r>
      <w:hyperlink r:id="rId45">
        <w:r>
          <w:rPr>
            <w:rStyle w:val="Hyperlink"/>
          </w:rPr>
          <w:t xml:space="preserve">https://edtechactu.com/digital-learning/5-conseils-pour-tirer-profit-de-lapprentissage-invisible/</w:t>
        </w:r>
      </w:hyperlink>
      <w:r>
        <w:t xml:space="preserve"> </w:t>
      </w:r>
      <w:r>
        <w:t xml:space="preserve">•</w:t>
      </w:r>
      <w:r>
        <w:t xml:space="preserve"> </w:t>
      </w:r>
      <w:hyperlink r:id="rId46">
        <w:r>
          <w:rPr>
            <w:rStyle w:val="Hyperlink"/>
          </w:rPr>
          <w:t xml:space="preserve">https://edtechactu.com/orientation/aider-cest-voler-un-apprentissage-pierre-robert-epitech/</w:t>
        </w:r>
      </w:hyperlink>
      <w:r>
        <w:t xml:space="preserve"> </w:t>
      </w:r>
      <w:r>
        <w:t xml:space="preserve">•</w:t>
      </w:r>
      <w:r>
        <w:t xml:space="preserve"> </w:t>
      </w:r>
      <w:hyperlink r:id="rId47">
        <w:r>
          <w:rPr>
            <w:rStyle w:val="Hyperlink"/>
          </w:rPr>
          <w:t xml:space="preserve">https://edtechactu.com/breves/le-cned-devoile-la-saison-2-de-perspectives-son-podcast-consacre-aux-transformations-du-monde-de-la-formation/</w:t>
        </w:r>
      </w:hyperlink>
    </w:p>
    <w:bookmarkEnd w:id="48"/>
    <w:bookmarkStart w:id="50" w:name="X5b00850cc43b86ff1560de0d9b6809ff576dcc2"/>
    <w:p>
      <w:pPr>
        <w:pStyle w:val="Heading3"/>
      </w:pPr>
      <w:r>
        <w:t xml:space="preserve">Cybersécurité : les modules e-learning gratuits SensCyber de Cybermalveillance.gouv.fr signalés aux formateurs</w:t>
      </w:r>
    </w:p>
    <w:p>
      <w:pPr>
        <w:pStyle w:val="FirstParagraph"/>
      </w:pPr>
      <w:r>
        <w:rPr>
          <w:bCs/>
          <w:b/>
        </w:rPr>
        <w:t xml:space="preserve">≈ 20/10/2026</w:t>
      </w:r>
      <w:r>
        <w:t xml:space="preserve"> </w:t>
      </w:r>
      <w:r>
        <w:t xml:space="preserve">— L’Atelier du Formateur</w:t>
      </w:r>
    </w:p>
    <w:p>
      <w:pPr>
        <w:pStyle w:val="BodyText"/>
      </w:pPr>
      <w:r>
        <w:t xml:space="preserve">L’Atelier du Formateur signale l’accès à trois modules e-learning de sensibilisation « SensCyber » proposés par le GIP ACYMA (Cybermalveillance.gouv.fr) — ressource gratuite mobilisable pour la sensibilisation des équipes et des apprenants à la sécurité numérique.</w:t>
      </w:r>
    </w:p>
    <w:p>
      <w:pPr>
        <w:pStyle w:val="BodyText"/>
      </w:pPr>
      <w:r>
        <w:rPr>
          <w:iCs/>
          <w:i/>
        </w:rPr>
        <w:t xml:space="preserve">Impact pour l’organisme : ressource clé en main pour la professionnalisation interne (sécurisation des données des stagiaires, RGPD) et enrichissement possible des parcours ; traçable comme action de veille technologique (indicateurs 23-25).</w:t>
      </w:r>
    </w:p>
    <w:p>
      <w:pPr>
        <w:pStyle w:val="BodyText"/>
      </w:pPr>
      <w:r>
        <w:t xml:space="preserve">Source :</w:t>
      </w:r>
      <w:r>
        <w:t xml:space="preserve"> </w:t>
      </w:r>
      <w:hyperlink r:id="rId49">
        <w:r>
          <w:rPr>
            <w:rStyle w:val="Hyperlink"/>
          </w:rPr>
          <w:t xml:space="preserve">https://latelierduformateur.fr/modules-e-learning-senscyber-cybermalveillance/</w:t>
        </w:r>
      </w:hyperlink>
    </w:p>
    <w:bookmarkEnd w:id="50"/>
    <w:bookmarkEnd w:id="51"/>
    <w:bookmarkStart w:id="59" w:name="X3f0859653963368d38d74fba3081e07a4da06c8"/>
    <w:p>
      <w:pPr>
        <w:pStyle w:val="Heading2"/>
      </w:pPr>
      <w:r>
        <w:t xml:space="preserve">4. Veille handicap et accessibilité (indicateur 26)</w:t>
      </w:r>
    </w:p>
    <w:bookmarkStart w:id="54" w:name="X47f976ab3a894cc913e98368bbcf73507579924"/>
    <w:p>
      <w:pPr>
        <w:pStyle w:val="Heading3"/>
      </w:pPr>
      <w:r>
        <w:t xml:space="preserve">Fin des accords agréés en 2027 : l’Agefiph refond son offre en trois « packs » et une convention de services</w:t>
      </w:r>
    </w:p>
    <w:p>
      <w:pPr>
        <w:pStyle w:val="FirstParagraph"/>
      </w:pPr>
      <w:r>
        <w:rPr>
          <w:bCs/>
          <w:b/>
        </w:rPr>
        <w:t xml:space="preserve">20/10/2026</w:t>
      </w:r>
      <w:r>
        <w:t xml:space="preserve"> </w:t>
      </w:r>
      <w:r>
        <w:t xml:space="preserve">— Handicap.fr (compte rendu du salon Inclusiv’Day du 1er octobre)</w:t>
      </w:r>
    </w:p>
    <w:p>
      <w:pPr>
        <w:pStyle w:val="BodyText"/>
      </w:pPr>
      <w:r>
        <w:t xml:space="preserve">À partir de 2027, les entreprises ne pourront plus renouveler leurs accords agréés (conséquence de la loi du 5 septembre 2018), qui leur permettaient de conserver leur contribution handicap pour financer leur politique interne. L’Agefiph prépare en remplacement une offre en trois « packs » selon la maturité de l’entreprise (découverte ; plan d’action porté par le référent handicap — formation des managers, sensibilisation, recrutement, maintien dans l’emploi ; employeurs engagés) ainsi qu’une « convention de services » de transition avec enveloppe globale calculée sur estimation des besoins (aménagements de poste, transport), évitant le traitement dossier par dossier.</w:t>
      </w:r>
    </w:p>
    <w:p>
      <w:pPr>
        <w:pStyle w:val="BodyText"/>
      </w:pPr>
      <w:r>
        <w:rPr>
          <w:iCs/>
          <w:i/>
        </w:rPr>
        <w:t xml:space="preserve">Impact pour l’organisme : double lecture — (1) comme employeur : si l’organisme est concerné par l’OETH, anticiper la stratégie handicap 2027 ; (2) comme prestataire : la généralisation des packs (formation des managers, sensibilisation) ouvre un marché de formation handicap pour les entreprises sortant d’accord — opportunité à instruire avec le référent handicap (indicateur 26).</w:t>
      </w:r>
    </w:p>
    <w:p>
      <w:pPr>
        <w:pStyle w:val="BodyText"/>
      </w:pPr>
      <w:r>
        <w:t xml:space="preserve">Source :</w:t>
      </w:r>
      <w:r>
        <w:t xml:space="preserve"> </w:t>
      </w:r>
      <w:hyperlink r:id="rId52">
        <w:r>
          <w:rPr>
            <w:rStyle w:val="Hyperlink"/>
          </w:rPr>
          <w:t xml:space="preserve">https://informations.handicap.fr/a-accords-agrees-comment-l-agefiph-va-transformer-son-offre-39883.php</w:t>
        </w:r>
      </w:hyperlink>
      <w:r>
        <w:t xml:space="preserve"> </w:t>
      </w:r>
      <w:r>
        <w:t xml:space="preserve">•</w:t>
      </w:r>
      <w:r>
        <w:t xml:space="preserve"> </w:t>
      </w:r>
      <w:hyperlink r:id="rId53">
        <w:r>
          <w:rPr>
            <w:rStyle w:val="Hyperlink"/>
          </w:rPr>
          <w:t xml:space="preserve">https://floteuil.com/2026/10/20/fin-des-accords-agrees-agefiph-preparez-votre-strategie-handicap-pour-2027</w:t>
        </w:r>
      </w:hyperlink>
    </w:p>
    <w:bookmarkEnd w:id="54"/>
    <w:bookmarkStart w:id="58" w:name="X1137a6e2ce347e032fe46a45818858ec114637c"/>
    <w:p>
      <w:pPr>
        <w:pStyle w:val="Heading3"/>
      </w:pPr>
      <w:r>
        <w:t xml:space="preserve">SEEPH (16-22 novembre) et DuoDay (19 novembre) : J-21</w:t>
      </w:r>
    </w:p>
    <w:p>
      <w:pPr>
        <w:pStyle w:val="FirstParagraph"/>
      </w:pPr>
      <w:r>
        <w:rPr>
          <w:bCs/>
          <w:b/>
        </w:rPr>
        <w:t xml:space="preserve">rappel au 26/10/2026</w:t>
      </w:r>
      <w:r>
        <w:t xml:space="preserve"> </w:t>
      </w:r>
      <w:r>
        <w:t xml:space="preserve">— Agefiph / monparcourshandicap.gouv.fr</w:t>
      </w:r>
    </w:p>
    <w:p>
      <w:pPr>
        <w:pStyle w:val="BodyText"/>
      </w:pPr>
      <w:r>
        <w:t xml:space="preserve">Pas de nouveau texte réglementaire « handicap-formation » repéré du 20 au 26 octobre. À trois semaines de la 30e SEEPH (« Démystifier, simplifier, accompagner. L’emploi pour toutes et tous »), le kit de communication Agefiph et les replays des webinaires de préparation restent disponibles ; les inscriptions DuoDay 2026 (19 novembre) sont ouvertes, et des forums de recrutement spécifiques SEEPH (dont Talents Handicap) sont annoncés.</w:t>
      </w:r>
    </w:p>
    <w:p>
      <w:pPr>
        <w:pStyle w:val="BodyText"/>
      </w:pPr>
      <w:r>
        <w:rPr>
          <w:iCs/>
          <w:i/>
        </w:rPr>
        <w:t xml:space="preserve">Impact pour l’organisme : si ce n’est pas déjà fait, boucler cette semaine le programme SEEPH et l’inscription DuoDay ; archiver kit, programme et inscriptions comme preuves de l’indicateur 26.</w:t>
      </w:r>
    </w:p>
    <w:p>
      <w:pPr>
        <w:pStyle w:val="BodyText"/>
      </w:pPr>
      <w:r>
        <w:t xml:space="preserve">Source :</w:t>
      </w:r>
      <w:r>
        <w:t xml:space="preserve"> </w:t>
      </w:r>
      <w:hyperlink r:id="rId55">
        <w:r>
          <w:rPr>
            <w:rStyle w:val="Hyperlink"/>
          </w:rPr>
          <w:t xml:space="preserve">https://www.agefiph.fr/actualites-handicap/seeph-2026-webinaires-les-10-septembre-et-6-octobre-pour-les-activateurs-de</w:t>
        </w:r>
      </w:hyperlink>
      <w:r>
        <w:t xml:space="preserve"> </w:t>
      </w:r>
      <w:r>
        <w:t xml:space="preserve">•</w:t>
      </w:r>
      <w:r>
        <w:t xml:space="preserve"> </w:t>
      </w:r>
      <w:hyperlink r:id="rId56">
        <w:r>
          <w:rPr>
            <w:rStyle w:val="Hyperlink"/>
          </w:rPr>
          <w:t xml:space="preserve">https://www.agefiph.fr/evenements-handicap/forum-de-recrutement-talents-handicap-edition-speciale-seeph-2026-tous-secteurs</w:t>
        </w:r>
      </w:hyperlink>
      <w:r>
        <w:t xml:space="preserve"> </w:t>
      </w:r>
      <w:r>
        <w:t xml:space="preserve">•</w:t>
      </w:r>
      <w:r>
        <w:t xml:space="preserve"> </w:t>
      </w:r>
      <w:hyperlink r:id="rId57">
        <w:r>
          <w:rPr>
            <w:rStyle w:val="Hyperlink"/>
          </w:rPr>
          <w:t xml:space="preserve">https://www.monparcourshandicap.gouv.fr/actualite/duoday-2026-les-inscriptions-sont-ouvertes</w:t>
        </w:r>
      </w:hyperlink>
    </w:p>
    <w:bookmarkEnd w:id="58"/>
    <w:bookmarkEnd w:id="59"/>
    <w:bookmarkStart w:id="60" w:name="échéances-à-venir"/>
    <w:p>
      <w:pPr>
        <w:pStyle w:val="Heading2"/>
      </w:pPr>
      <w:r>
        <w:t xml:space="preserve">5. Échéances à venir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Échéance</w:t>
            </w:r>
          </w:p>
        </w:tc>
        <w:tc>
          <w:tcPr/>
          <w:p>
            <w:pPr>
              <w:pStyle w:val="Compact"/>
              <w:jc w:val="left"/>
            </w:pPr>
            <w:r>
              <w:t xml:space="preserve">Objet</w:t>
            </w:r>
          </w:p>
        </w:tc>
      </w:tr>
      <w:tr>
        <w:tc>
          <w:tcPr/>
          <w:p>
            <w:pPr>
              <w:pStyle w:val="Compact"/>
              <w:jc w:val="left"/>
            </w:pPr>
            <w:r>
              <w:rPr>
                <w:bCs/>
                <w:b/>
              </w:rPr>
              <w:t xml:space="preserve">27 oct. – 16 nov. 2026</w:t>
            </w:r>
          </w:p>
        </w:tc>
        <w:tc>
          <w:tcPr/>
          <w:p>
            <w:pPr>
              <w:pStyle w:val="Compact"/>
              <w:jc w:val="left"/>
            </w:pPr>
            <w:r>
              <w:rPr>
                <w:bCs/>
                <w:b/>
              </w:rPr>
              <w:t xml:space="preserve">Examen en séance de la seconde partie du PLF 2027 à l’Assemblée nationale, dont l’article 89 (CPF, Cufpa) — ouverture demain</w:t>
            </w:r>
          </w:p>
        </w:tc>
      </w:tr>
      <w:tr>
        <w:tc>
          <w:tcPr/>
          <w:p>
            <w:pPr>
              <w:pStyle w:val="Compact"/>
              <w:jc w:val="left"/>
            </w:pPr>
            <w:r>
              <w:rPr>
                <w:bCs/>
                <w:b/>
              </w:rPr>
              <w:t xml:space="preserve">31 oct. 2026</w:t>
            </w:r>
          </w:p>
        </w:tc>
        <w:tc>
          <w:tcPr/>
          <w:p>
            <w:pPr>
              <w:pStyle w:val="Compact"/>
              <w:jc w:val="left"/>
            </w:pPr>
            <w:r>
              <w:rPr>
                <w:bCs/>
                <w:b/>
              </w:rPr>
              <w:t xml:space="preserve">Dernier jour des audits Qualiopi sur l’ancien référentiel (32 indicateurs)</w:t>
            </w:r>
          </w:p>
        </w:tc>
      </w:tr>
      <w:tr>
        <w:tc>
          <w:tcPr/>
          <w:p>
            <w:pPr>
              <w:pStyle w:val="Compact"/>
              <w:jc w:val="left"/>
            </w:pPr>
            <w:r>
              <w:rPr>
                <w:bCs/>
                <w:b/>
              </w:rPr>
              <w:t xml:space="preserve">1er nov. 2026</w:t>
            </w:r>
          </w:p>
        </w:tc>
        <w:tc>
          <w:tcPr/>
          <w:p>
            <w:pPr>
              <w:pStyle w:val="Compact"/>
              <w:jc w:val="left"/>
            </w:pPr>
            <w:r>
              <w:rPr>
                <w:bCs/>
                <w:b/>
              </w:rPr>
              <w:t xml:space="preserve">Entrée en vigueur du référentiel Qualiopi à 33 indicateurs (décret n° 2026-728) — guide V10 et arrêtés ind. 19-20 non publiés au 26 oct.</w:t>
            </w:r>
          </w:p>
        </w:tc>
      </w:tr>
      <w:tr>
        <w:tc>
          <w:tcPr/>
          <w:p>
            <w:pPr>
              <w:pStyle w:val="Compact"/>
              <w:jc w:val="left"/>
            </w:pPr>
            <w:r>
              <w:t xml:space="preserve">5 nov. 2026</w:t>
            </w:r>
          </w:p>
        </w:tc>
        <w:tc>
          <w:tcPr/>
          <w:p>
            <w:pPr>
              <w:pStyle w:val="Compact"/>
              <w:jc w:val="left"/>
            </w:pPr>
            <w:r>
              <w:t xml:space="preserve">Journée de mobilisation CGT contre la réforme du CPF (art. 89 PLF 2027)</w:t>
            </w:r>
          </w:p>
        </w:tc>
      </w:tr>
      <w:tr>
        <w:tc>
          <w:tcPr/>
          <w:p>
            <w:pPr>
              <w:pStyle w:val="Compact"/>
              <w:jc w:val="left"/>
            </w:pPr>
            <w:r>
              <w:t xml:space="preserve">16-22 nov. 2026</w:t>
            </w:r>
          </w:p>
        </w:tc>
        <w:tc>
          <w:tcPr/>
          <w:p>
            <w:pPr>
              <w:pStyle w:val="Compact"/>
              <w:jc w:val="left"/>
            </w:pPr>
            <w:r>
              <w:t xml:space="preserve">SEEPH 2026 (30e édition)</w:t>
            </w:r>
          </w:p>
        </w:tc>
      </w:tr>
      <w:tr>
        <w:tc>
          <w:tcPr/>
          <w:p>
            <w:pPr>
              <w:pStyle w:val="Compact"/>
              <w:jc w:val="left"/>
            </w:pPr>
            <w:r>
              <w:t xml:space="preserve">19 nov. 2026</w:t>
            </w:r>
          </w:p>
        </w:tc>
        <w:tc>
          <w:tcPr/>
          <w:p>
            <w:pPr>
              <w:pStyle w:val="Compact"/>
              <w:jc w:val="left"/>
            </w:pPr>
            <w:r>
              <w:t xml:space="preserve">DuoDay 2026 (inscriptions ouvertes)</w:t>
            </w:r>
          </w:p>
        </w:tc>
      </w:tr>
      <w:tr>
        <w:tc>
          <w:tcPr/>
          <w:p>
            <w:pPr>
              <w:pStyle w:val="Compact"/>
              <w:jc w:val="left"/>
            </w:pPr>
            <w:r>
              <w:t xml:space="preserve">Déc. 2026</w:t>
            </w:r>
          </w:p>
        </w:tc>
        <w:tc>
          <w:tcPr/>
          <w:p>
            <w:pPr>
              <w:pStyle w:val="Compact"/>
              <w:jc w:val="left"/>
            </w:pPr>
            <w:r>
              <w:t xml:space="preserve">Vote final du PLF 2027 (CPF, Cufpa, Pric, apprentissage)</w:t>
            </w:r>
          </w:p>
        </w:tc>
      </w:tr>
      <w:tr>
        <w:tc>
          <w:tcPr/>
          <w:p>
            <w:pPr>
              <w:pStyle w:val="Compact"/>
              <w:jc w:val="left"/>
            </w:pPr>
            <w:r>
              <w:t xml:space="preserve">31 déc. 2026</w:t>
            </w:r>
          </w:p>
        </w:tc>
        <w:tc>
          <w:tcPr/>
          <w:p>
            <w:pPr>
              <w:pStyle w:val="Compact"/>
              <w:jc w:val="left"/>
            </w:pPr>
            <w:r>
              <w:t xml:space="preserve">Fin de l’aide exceptionnelle aux employeurs d’apprentis (contrats conclus avant cette date)</w:t>
            </w:r>
          </w:p>
        </w:tc>
      </w:tr>
      <w:tr>
        <w:tc>
          <w:tcPr/>
          <w:p>
            <w:pPr>
              <w:pStyle w:val="Compact"/>
              <w:jc w:val="left"/>
            </w:pPr>
            <w:r>
              <w:t xml:space="preserve">2027</w:t>
            </w:r>
          </w:p>
        </w:tc>
        <w:tc>
          <w:tcPr/>
          <w:p>
            <w:pPr>
              <w:pStyle w:val="Compact"/>
              <w:jc w:val="left"/>
            </w:pPr>
            <w:r>
              <w:t xml:space="preserve">Fin du renouvellement des accords agréés Agefiph ; bascule vers les « packs » et conventions de services</w:t>
            </w:r>
          </w:p>
        </w:tc>
      </w:tr>
      <w:tr>
        <w:tc>
          <w:tcPr/>
          <w:p>
            <w:pPr>
              <w:pStyle w:val="Compact"/>
              <w:jc w:val="left"/>
            </w:pPr>
            <w:r>
              <w:t xml:space="preserve">2027</w:t>
            </w:r>
          </w:p>
        </w:tc>
        <w:tc>
          <w:tcPr/>
          <w:p>
            <w:pPr>
              <w:pStyle w:val="Compact"/>
              <w:jc w:val="left"/>
            </w:pPr>
            <w:r>
              <w:t xml:space="preserve">Appel du complément de participation CPF (jusqu’à 200 €) pour les dossiers validés depuis le 2 oct. 2026, sous réserve du vote du PLF et de l’issue du référé</w:t>
            </w:r>
          </w:p>
        </w:tc>
      </w:tr>
      <w:tr>
        <w:tc>
          <w:tcPr/>
          <w:p>
            <w:pPr>
              <w:pStyle w:val="Compact"/>
              <w:jc w:val="left"/>
            </w:pPr>
            <w:r>
              <w:t xml:space="preserve">1er janv. 2028</w:t>
            </w:r>
          </w:p>
        </w:tc>
        <w:tc>
          <w:tcPr/>
          <w:p>
            <w:pPr>
              <w:pStyle w:val="Compact"/>
              <w:jc w:val="left"/>
            </w:pPr>
            <w:r>
              <w:t xml:space="preserve">Entrée en vigueur prévue du « questionnaire de projet » CPF (art. 89 PLF 2027, si voté)</w:t>
            </w:r>
          </w:p>
        </w:tc>
      </w:tr>
    </w:tbl>
    <w:bookmarkEnd w:id="60"/>
    <w:bookmarkStart w:id="61" w:name="actions-à-prévoir"/>
    <w:p>
      <w:pPr>
        <w:pStyle w:val="Heading2"/>
      </w:pPr>
      <w:r>
        <w:t xml:space="preserve">6. Actions à prévoir</w:t>
      </w:r>
    </w:p>
    <w:p>
      <w:pPr>
        <w:numPr>
          <w:ilvl w:val="0"/>
          <w:numId w:val="1001"/>
        </w:numPr>
        <w:pStyle w:val="Compact"/>
      </w:pPr>
      <w:r>
        <w:rPr>
          <w:bCs/>
          <w:b/>
        </w:rPr>
        <w:t xml:space="preserve">Avant le 1er novembre (critique)</w:t>
      </w:r>
      <w:r>
        <w:t xml:space="preserve"> </w:t>
      </w:r>
      <w:r>
        <w:t xml:space="preserve">: finaliser l’auto-diagnostic Qualiopi V10 sur la base du décret n° 2026-728 et acter en interne la bascule sans guide de lecture ; organiser une vérification quotidienne de la page ministérielle et du JO cette semaine (parution possible du guide V10 et des arrêtés ind. 19-20 à tout moment), en traçant chaque vérification au registre de veille.</w:t>
      </w:r>
    </w:p>
    <w:p>
      <w:pPr>
        <w:numPr>
          <w:ilvl w:val="0"/>
          <w:numId w:val="1001"/>
        </w:numPr>
        <w:pStyle w:val="Compact"/>
      </w:pPr>
      <w:r>
        <w:rPr>
          <w:bCs/>
          <w:b/>
        </w:rPr>
        <w:t xml:space="preserve">Dès le 27 octobre</w:t>
      </w:r>
      <w:r>
        <w:t xml:space="preserve"> </w:t>
      </w:r>
      <w:r>
        <w:t xml:space="preserve">: suivre les débats en séance sur l’article 89 du PLF 2027 et l’éventuelle ordonnance du Conseil d’État sur les bandeaux CPF ; tenir à jour les deux scénarios de discours commercial CPF.</w:t>
      </w:r>
    </w:p>
    <w:p>
      <w:pPr>
        <w:numPr>
          <w:ilvl w:val="0"/>
          <w:numId w:val="1001"/>
        </w:numPr>
        <w:pStyle w:val="Compact"/>
      </w:pPr>
      <w:r>
        <w:t xml:space="preserve">Réviser les prévisions d’activité CPF 2027 à la lumière du Jaune budgétaire (budget CPF -25 % en 2026, État à 0 € pour France compétences en 2027) et présenter en réunion de direction un plan de diversification des financements (preuve d’exploitation de la veille).</w:t>
      </w:r>
    </w:p>
    <w:p>
      <w:pPr>
        <w:numPr>
          <w:ilvl w:val="0"/>
          <w:numId w:val="1001"/>
        </w:numPr>
        <w:pStyle w:val="Compact"/>
      </w:pPr>
      <w:r>
        <w:t xml:space="preserve">Construire une offre « dotation employeur fléchée » : sélectionner jusqu’à 5 certifications phares du catalogue, vérifier leur validité RNCP/RS et préparer un argumentaire DRH (nouveauté CGU Mon Compte Formation du 22 octobre).</w:t>
      </w:r>
    </w:p>
    <w:p>
      <w:pPr>
        <w:numPr>
          <w:ilvl w:val="0"/>
          <w:numId w:val="1001"/>
        </w:numPr>
        <w:pStyle w:val="Compact"/>
      </w:pPr>
      <w:r>
        <w:t xml:space="preserve">Si activité apprentissage : télécharger le référentiel NPEC du 16 octobre (publié le 19), contrôler les valeurs de chaque certification et mettre à jour budgets et conventions des contrats conclus depuis le 1er septembre.</w:t>
      </w:r>
    </w:p>
    <w:p>
      <w:pPr>
        <w:numPr>
          <w:ilvl w:val="0"/>
          <w:numId w:val="1001"/>
        </w:numPr>
        <w:pStyle w:val="Compact"/>
      </w:pPr>
      <w:r>
        <w:t xml:space="preserve">Alimenter la charte IA interne avec les publications de la semaine (Digiformag 22/10 sur les métiers de la pédagogie 2035, EdTech Actu 21-23/10) et inscrire les ressources gratuites (podcast Cned, modules SensCyber) au plan de professionnalisation.</w:t>
      </w:r>
    </w:p>
    <w:p>
      <w:pPr>
        <w:numPr>
          <w:ilvl w:val="0"/>
          <w:numId w:val="1001"/>
        </w:numPr>
        <w:pStyle w:val="Compact"/>
      </w:pPr>
      <w:r>
        <w:t xml:space="preserve">Avec le référent handicap : analyser l’opportunité « formation des entreprises sortant d’accords agréés » (packs Agefiph 2027) et boucler programme SEEPH + inscription DuoDay ; archiver les preuves (indicateur 26).</w:t>
      </w:r>
    </w:p>
    <w:p>
      <w:pPr>
        <w:numPr>
          <w:ilvl w:val="0"/>
          <w:numId w:val="1001"/>
        </w:numPr>
        <w:pStyle w:val="Compact"/>
      </w:pPr>
      <w:r>
        <w:t xml:space="preserve">Si un dossier RNCP/RS est en préparation : caler le dossier sur les notices France compétences d’octobre 2026.</w:t>
      </w:r>
    </w:p>
    <w:bookmarkEnd w:id="61"/>
    <w:bookmarkStart w:id="62" w:name="méthodologie-et-sources"/>
    <w:p>
      <w:pPr>
        <w:pStyle w:val="Heading2"/>
      </w:pPr>
      <w:r>
        <w:t xml:space="preserve">Méthodologie et sources</w:t>
      </w:r>
    </w:p>
    <w:p>
      <w:pPr>
        <w:pStyle w:val="FirstParagraph"/>
      </w:pPr>
      <w:r>
        <w:t xml:space="preserve">Veille réalisée le 26 octobre 2026 par recherche systématique sur les sources officielles et professionnelles : France compétences (publications officielles, référentiel NPEC), Caisse des Dépôts / Mon Compte Formation (CGU, portail EDOF/EDEF), ministère du Travail (page « Référentiel national qualité »), Légifrance/JO, Agefiph et monparcourshandicap.gouv.fr, Assemblée nationale (calendrier PLF 2027), presse et blogs spécialisés (CPFormation, Digiformag, Certiforma, EdTech Actu, L’Atelier du Formateur, Handicap.fr). Chaque information est datée et accompagnée de l’URL de sa source. Notes et limites : la page travail-emploi.gouv.fr du guide de lecture n’a pu être consultée directement cette semaine (page de vérification anti-robot) — le statut « non publié » du guide V10 et des arrêtés indicateurs 19-20 repose sur la page Certiforma mise à jour le 19 octobre, re-consultée le 26, et sur l’absence de toute annonce de publication dans les sources suivies entre le 20 et le 26 octobre ; aucune ordonnance du Conseil d’État sur le référé « bandeaux CPF » n’a été repérée dans les sources publiques au 26 octobre ; la date de l’article SensCyber de L’Atelier du Formateur est approximative (≈ 20 octobre, datation relative) ; le site de l’Agefiph n’a pas publié de nouveauté réglementaire repérée sur la période — l’actualité handicap provient du compte rendu Inclusiv’Day publié par Handicap.fr le 20 octobre ; depuis la liquidation judiciaire de Centre Inffo (juillet 2026), le « Quotidien de la formation » n’alimente plus la veille.</w:t>
      </w:r>
    </w:p>
    <w:p>
      <w:pPr>
        <w:pStyle w:val="BodyText"/>
      </w:pPr>
      <w:r>
        <w:rPr>
          <w:iCs/>
          <w:i/>
        </w:rPr>
        <w:t xml:space="preserve">Fiche générée et archivée automatiquement — veille Qualiopi critère 6.</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certiforma.fr/qualiopi-v10/" TargetMode="External" /><Relationship Type="http://schemas.openxmlformats.org/officeDocument/2006/relationships/hyperlink" Id="rId31" Target="https://cpformation.com/bandeau-cpf-une-loi-qui-nexiste-pas-la-filiere-saisit-le-conseil-detat/" TargetMode="External" /><Relationship Type="http://schemas.openxmlformats.org/officeDocument/2006/relationships/hyperlink" Id="rId30" Target="https://cpformation.com/cpf-2027-syndicats-patronat-et-of-le-front-contre-larticle-89-selargit/" TargetMode="External" /><Relationship Type="http://schemas.openxmlformats.org/officeDocument/2006/relationships/hyperlink" Id="rId24" Target="https://cpformation.com/cpf-456-millions-deuros-en-moins-le-budget-fond-dun-quart-en-2026/" TargetMode="External" /><Relationship Type="http://schemas.openxmlformats.org/officeDocument/2006/relationships/hyperlink" Id="rId28" Target="https://cpformation.com/cpf-flecher-votre-dotation-employeur-vers-5-certifications-mode-demploi/" TargetMode="External" /><Relationship Type="http://schemas.openxmlformats.org/officeDocument/2006/relationships/hyperlink" Id="rId26" Target="https://cpformation.com/france-competences-letat-coupe-le-robinet-zero-euro-en-2027/" TargetMode="External" /><Relationship Type="http://schemas.openxmlformats.org/officeDocument/2006/relationships/hyperlink" Id="rId47" Target="https://edtechactu.com/breves/le-cned-devoile-la-saison-2-de-perspectives-son-podcast-consacre-aux-transformations-du-monde-de-la-formation/" TargetMode="External" /><Relationship Type="http://schemas.openxmlformats.org/officeDocument/2006/relationships/hyperlink" Id="rId45" Target="https://edtechactu.com/digital-learning/5-conseils-pour-tirer-profit-de-lapprentissage-invisible/" TargetMode="External" /><Relationship Type="http://schemas.openxmlformats.org/officeDocument/2006/relationships/hyperlink" Id="rId44" Target="https://edtechactu.com/evaluation/lia-ne-fait-pas-disparaitre-le-besoin-dexpertise-pedagogique/" TargetMode="External" /><Relationship Type="http://schemas.openxmlformats.org/officeDocument/2006/relationships/hyperlink" Id="rId46" Target="https://edtechactu.com/orientation/aider-cest-voler-un-apprentissage-pierre-robert-epitech/" TargetMode="External" /><Relationship Type="http://schemas.openxmlformats.org/officeDocument/2006/relationships/hyperlink" Id="rId53" Target="https://floteuil.com/2026/10/20/fin-des-accords-agrees-agefiph-preparez-votre-strategie-handicap-pour-2027" TargetMode="External" /><Relationship Type="http://schemas.openxmlformats.org/officeDocument/2006/relationships/hyperlink" Id="rId52" Target="https://informations.handicap.fr/a-accords-agrees-comment-l-agefiph-va-transformer-son-offre-39883.php" TargetMode="External" /><Relationship Type="http://schemas.openxmlformats.org/officeDocument/2006/relationships/hyperlink" Id="rId49" Target="https://latelierduformateur.fr/modules-e-learning-senscyber-cybermalveillance/" TargetMode="External" /><Relationship Type="http://schemas.openxmlformats.org/officeDocument/2006/relationships/hyperlink" Id="rId22" Target="https://travail-emploi.gouv.fr/referentiel-national-qualite-guide-de-lecture-qualiopi" TargetMode="External" /><Relationship Type="http://schemas.openxmlformats.org/officeDocument/2006/relationships/hyperlink" Id="rId55" Target="https://www.agefiph.fr/actualites-handicap/seeph-2026-webinaires-les-10-septembre-et-6-octobre-pour-les-activateurs-de" TargetMode="External" /><Relationship Type="http://schemas.openxmlformats.org/officeDocument/2006/relationships/hyperlink" Id="rId56" Target="https://www.agefiph.fr/evenements-handicap/forum-de-recrutement-talents-handicap-edition-speciale-seeph-2026-tous-secteurs" TargetMode="External" /><Relationship Type="http://schemas.openxmlformats.org/officeDocument/2006/relationships/hyperlink" Id="rId42" Target="https://www.digiformag.com/levolution-des-metiers-de-la-pedagogie-dici-a-2035/" TargetMode="External" /><Relationship Type="http://schemas.openxmlformats.org/officeDocument/2006/relationships/hyperlink" Id="rId36" Target="https://www.francecompetences.fr/" TargetMode="External" /><Relationship Type="http://schemas.openxmlformats.org/officeDocument/2006/relationships/hyperlink" Id="rId38" Target="https://www.francecompetences.fr/app/uploads/2026/10/Notice_aide_RNCP_102026.pdf" TargetMode="External" /><Relationship Type="http://schemas.openxmlformats.org/officeDocument/2006/relationships/hyperlink" Id="rId39" Target="https://www.francecompetences.fr/app/uploads/2026/10/Notice_aide_RS_102026.pdf" TargetMode="External" /><Relationship Type="http://schemas.openxmlformats.org/officeDocument/2006/relationships/hyperlink" Id="rId35" Target="https://www.francecompetences.fr/app/uploads/2026/10/Referentiel-unique-des-NPEC-1er-septembre-2026_maj16.10.26.zip" TargetMode="External" /><Relationship Type="http://schemas.openxmlformats.org/officeDocument/2006/relationships/hyperlink" Id="rId32" Target="https://www.moncompteformation.gouv.fr/espace-public/evolution-des-regles-dutilisation-du-cpf-compter-du-2-octobre-2026" TargetMode="External" /><Relationship Type="http://schemas.openxmlformats.org/officeDocument/2006/relationships/hyperlink" Id="rId57" Target="https://www.monparcourshandicap.gouv.fr/actualite/duoday-2026-les-inscriptions-sont-ouvertes" TargetMode="External" /></Relationships>
</file>

<file path=word/_rels/footnotes.xml.rels><?xml version="1.0" encoding="UTF-8"?><Relationships xmlns="http://schemas.openxmlformats.org/package/2006/relationships"><Relationship Type="http://schemas.openxmlformats.org/officeDocument/2006/relationships/hyperlink" Id="rId21" Target="https://certiforma.fr/qualiopi-v10/" TargetMode="External" /><Relationship Type="http://schemas.openxmlformats.org/officeDocument/2006/relationships/hyperlink" Id="rId31" Target="https://cpformation.com/bandeau-cpf-une-loi-qui-nexiste-pas-la-filiere-saisit-le-conseil-detat/" TargetMode="External" /><Relationship Type="http://schemas.openxmlformats.org/officeDocument/2006/relationships/hyperlink" Id="rId30" Target="https://cpformation.com/cpf-2027-syndicats-patronat-et-of-le-front-contre-larticle-89-selargit/" TargetMode="External" /><Relationship Type="http://schemas.openxmlformats.org/officeDocument/2006/relationships/hyperlink" Id="rId24" Target="https://cpformation.com/cpf-456-millions-deuros-en-moins-le-budget-fond-dun-quart-en-2026/" TargetMode="External" /><Relationship Type="http://schemas.openxmlformats.org/officeDocument/2006/relationships/hyperlink" Id="rId28" Target="https://cpformation.com/cpf-flecher-votre-dotation-employeur-vers-5-certifications-mode-demploi/" TargetMode="External" /><Relationship Type="http://schemas.openxmlformats.org/officeDocument/2006/relationships/hyperlink" Id="rId26" Target="https://cpformation.com/france-competences-letat-coupe-le-robinet-zero-euro-en-2027/" TargetMode="External" /><Relationship Type="http://schemas.openxmlformats.org/officeDocument/2006/relationships/hyperlink" Id="rId47" Target="https://edtechactu.com/breves/le-cned-devoile-la-saison-2-de-perspectives-son-podcast-consacre-aux-transformations-du-monde-de-la-formation/" TargetMode="External" /><Relationship Type="http://schemas.openxmlformats.org/officeDocument/2006/relationships/hyperlink" Id="rId45" Target="https://edtechactu.com/digital-learning/5-conseils-pour-tirer-profit-de-lapprentissage-invisible/" TargetMode="External" /><Relationship Type="http://schemas.openxmlformats.org/officeDocument/2006/relationships/hyperlink" Id="rId44" Target="https://edtechactu.com/evaluation/lia-ne-fait-pas-disparaitre-le-besoin-dexpertise-pedagogique/" TargetMode="External" /><Relationship Type="http://schemas.openxmlformats.org/officeDocument/2006/relationships/hyperlink" Id="rId46" Target="https://edtechactu.com/orientation/aider-cest-voler-un-apprentissage-pierre-robert-epitech/" TargetMode="External" /><Relationship Type="http://schemas.openxmlformats.org/officeDocument/2006/relationships/hyperlink" Id="rId53" Target="https://floteuil.com/2026/10/20/fin-des-accords-agrees-agefiph-preparez-votre-strategie-handicap-pour-2027" TargetMode="External" /><Relationship Type="http://schemas.openxmlformats.org/officeDocument/2006/relationships/hyperlink" Id="rId52" Target="https://informations.handicap.fr/a-accords-agrees-comment-l-agefiph-va-transformer-son-offre-39883.php" TargetMode="External" /><Relationship Type="http://schemas.openxmlformats.org/officeDocument/2006/relationships/hyperlink" Id="rId49" Target="https://latelierduformateur.fr/modules-e-learning-senscyber-cybermalveillance/" TargetMode="External" /><Relationship Type="http://schemas.openxmlformats.org/officeDocument/2006/relationships/hyperlink" Id="rId22" Target="https://travail-emploi.gouv.fr/referentiel-national-qualite-guide-de-lecture-qualiopi" TargetMode="External" /><Relationship Type="http://schemas.openxmlformats.org/officeDocument/2006/relationships/hyperlink" Id="rId55" Target="https://www.agefiph.fr/actualites-handicap/seeph-2026-webinaires-les-10-septembre-et-6-octobre-pour-les-activateurs-de" TargetMode="External" /><Relationship Type="http://schemas.openxmlformats.org/officeDocument/2006/relationships/hyperlink" Id="rId56" Target="https://www.agefiph.fr/evenements-handicap/forum-de-recrutement-talents-handicap-edition-speciale-seeph-2026-tous-secteurs" TargetMode="External" /><Relationship Type="http://schemas.openxmlformats.org/officeDocument/2006/relationships/hyperlink" Id="rId42" Target="https://www.digiformag.com/levolution-des-metiers-de-la-pedagogie-dici-a-2035/" TargetMode="External" /><Relationship Type="http://schemas.openxmlformats.org/officeDocument/2006/relationships/hyperlink" Id="rId36" Target="https://www.francecompetences.fr/" TargetMode="External" /><Relationship Type="http://schemas.openxmlformats.org/officeDocument/2006/relationships/hyperlink" Id="rId38" Target="https://www.francecompetences.fr/app/uploads/2026/10/Notice_aide_RNCP_102026.pdf" TargetMode="External" /><Relationship Type="http://schemas.openxmlformats.org/officeDocument/2006/relationships/hyperlink" Id="rId39" Target="https://www.francecompetences.fr/app/uploads/2026/10/Notice_aide_RS_102026.pdf" TargetMode="External" /><Relationship Type="http://schemas.openxmlformats.org/officeDocument/2006/relationships/hyperlink" Id="rId35" Target="https://www.francecompetences.fr/app/uploads/2026/10/Referentiel-unique-des-NPEC-1er-septembre-2026_maj16.10.26.zip" TargetMode="External" /><Relationship Type="http://schemas.openxmlformats.org/officeDocument/2006/relationships/hyperlink" Id="rId32" Target="https://www.moncompteformation.gouv.fr/espace-public/evolution-des-regles-dutilisation-du-cpf-compter-du-2-octobre-2026" TargetMode="External" /><Relationship Type="http://schemas.openxmlformats.org/officeDocument/2006/relationships/hyperlink" Id="rId57" Target="https://www.monparcourshandicap.gouv.fr/actualite/duoday-2026-les-inscriptions-sont-ouver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2026-10-26T05:16:49Z</dcterms:created>
  <dcterms:modified xsi:type="dcterms:W3CDTF">2026-10-26T05:16:49Z</dcterms:modified>
</cp:coreProperties>
</file>

<file path=docProps/custom.xml><?xml version="1.0" encoding="utf-8"?>
<Properties xmlns="http://schemas.openxmlformats.org/officeDocument/2006/custom-properties" xmlns:vt="http://schemas.openxmlformats.org/officeDocument/2006/docPropsVTypes"/>
</file>