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opinions</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going to focus on two areas:</w:t>
      </w:r>
    </w:p>
    <w:p>
      <w:pPr>
        <w:pStyle w:val="BodyText"/>
      </w:pPr>
      <w:r>
        <w:t xml:space="preserve">The first is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Another important outcome is the risk of death in the first 90 days after surgery</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w:t>
      </w:r>
    </w:p>
    <w:p>
      <w:pPr>
        <w:pStyle w:val="BodyText"/>
      </w:pPr>
      <w:r>
        <w:t xml:space="preserve">…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a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surgical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p>
      <w:pPr>
        <w:pStyle w:val="BodyText"/>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a safe way for lower-volume surgeons to gain experience (and become high-volume surgeons) while they are providing patients with the benefits of the experience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mortality outcomes … and complications</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2026-02-18T22:00:26Z</dcterms:created>
  <dcterms:modified xsi:type="dcterms:W3CDTF">2026-02-18T22:00:26Z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