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M1 Cancer of the Stomach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laparoscopy"/>
    <w:p>
      <w:pPr>
        <w:pStyle w:val="Heading2"/>
      </w:pPr>
      <w:r>
        <w:t xml:space="preserve">16 Laparoscopy</w:t>
      </w:r>
    </w:p>
    <w:p>
      <w:pPr>
        <w:pStyle w:val="Compact"/>
        <w:numPr>
          <w:ilvl w:val="0"/>
          <w:numId w:val="1011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1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1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24"/>
    <w:bookmarkStart w:id="25" w:name="laparoscopy-1"/>
    <w:p>
      <w:pPr>
        <w:pStyle w:val="Heading2"/>
      </w:pPr>
      <w:r>
        <w:t xml:space="preserve">17 Laparoscopy</w:t>
      </w:r>
    </w:p>
    <w:p>
      <w:pPr>
        <w:pStyle w:val="Compact"/>
        <w:numPr>
          <w:ilvl w:val="0"/>
          <w:numId w:val="1012"/>
        </w:numPr>
      </w:pPr>
      <w:r>
        <w:t xml:space="preserve">General anesthetic</w:t>
      </w:r>
    </w:p>
    <w:p>
      <w:pPr>
        <w:pStyle w:val="Compact"/>
        <w:numPr>
          <w:ilvl w:val="0"/>
          <w:numId w:val="1012"/>
        </w:numPr>
      </w:pPr>
      <w:r>
        <w:t xml:space="preserve">1/4” incisions</w:t>
      </w:r>
    </w:p>
    <w:p>
      <w:pPr>
        <w:pStyle w:val="Compact"/>
        <w:numPr>
          <w:ilvl w:val="0"/>
          <w:numId w:val="1012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12"/>
        </w:numPr>
      </w:pPr>
      <w:r>
        <w:t xml:space="preserve">Biopsies performed</w:t>
      </w:r>
    </w:p>
    <w:p>
      <w:pPr>
        <w:pStyle w:val="Compact"/>
        <w:numPr>
          <w:ilvl w:val="0"/>
          <w:numId w:val="1012"/>
        </w:numPr>
      </w:pPr>
      <w:r>
        <w:t xml:space="preserve">Fluid sampled</w:t>
      </w:r>
    </w:p>
    <w:bookmarkEnd w:id="25"/>
    <w:bookmarkStart w:id="26" w:name="treatment-plan"/>
    <w:p>
      <w:pPr>
        <w:pStyle w:val="Heading2"/>
      </w:pPr>
      <w:r>
        <w:t xml:space="preserve">18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3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3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13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13"/>
        </w:numPr>
      </w:pPr>
      <w:r>
        <w:t xml:space="preserve">Metastatic cancers are M1 and are treated primary by chemotherapy.</w:t>
      </w:r>
    </w:p>
    <w:bookmarkEnd w:id="26"/>
    <w:bookmarkStart w:id="27" w:name="tumor-biomarkers---additional-pathology"/>
    <w:p>
      <w:pPr>
        <w:pStyle w:val="Heading2"/>
      </w:pPr>
      <w:r>
        <w:t xml:space="preserve">19 Tumor Biomarkers - Additional Pathology</w:t>
      </w:r>
    </w:p>
    <w:p>
      <w:pPr>
        <w:pStyle w:val="Compact"/>
        <w:numPr>
          <w:ilvl w:val="0"/>
          <w:numId w:val="1014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4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Compact"/>
        <w:numPr>
          <w:ilvl w:val="0"/>
          <w:numId w:val="1014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(Stage IV)</w:t>
      </w:r>
    </w:p>
    <w:p>
      <w:pPr>
        <w:pStyle w:val="Compact"/>
        <w:numPr>
          <w:ilvl w:val="0"/>
          <w:numId w:val="1014"/>
        </w:numPr>
      </w:pPr>
      <w:r>
        <w:t xml:space="preserve">Claudin 18.2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zolbetuximab (Stage IV)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27"/>
    <w:bookmarkStart w:id="28" w:name="tumor-genetic-analysis"/>
    <w:p>
      <w:pPr>
        <w:pStyle w:val="Heading2"/>
      </w:pPr>
      <w:r>
        <w:t xml:space="preserve">20 Tumor Genetic Analysis</w:t>
      </w:r>
    </w:p>
    <w:p>
      <w:pPr>
        <w:pStyle w:val="FirstParagraph"/>
      </w:pPr>
      <w:r>
        <w:t xml:space="preserve">For patients with Stage IV disease, genetic testing of the cancer can be performed:</w:t>
      </w:r>
    </w:p>
    <w:p>
      <w:pPr>
        <w:pStyle w:val="BodyText"/>
      </w:pPr>
      <w:r>
        <w:t xml:space="preserve">May help identify effective drugs</w:t>
      </w:r>
    </w:p>
    <w:p>
      <w:pPr>
        <w:pStyle w:val="BodyText"/>
      </w:pPr>
      <w:r>
        <w:t xml:space="preserve">Your medical oncologist will review these with you</w:t>
      </w:r>
    </w:p>
    <w:bookmarkEnd w:id="28"/>
    <w:bookmarkStart w:id="29" w:name="chemotherapy-administration"/>
    <w:p>
      <w:pPr>
        <w:pStyle w:val="Heading2"/>
      </w:pPr>
      <w:r>
        <w:t xml:space="preserve">21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29"/>
    <w:bookmarkStart w:id="30" w:name="X24de4000c031f200c5dfe01452aa364022c5d0d"/>
    <w:p>
      <w:pPr>
        <w:pStyle w:val="Heading2"/>
      </w:pPr>
      <w:r>
        <w:t xml:space="preserve">22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0"/>
    <w:bookmarkStart w:id="31" w:name="central-venous-port"/>
    <w:p>
      <w:pPr>
        <w:pStyle w:val="Heading2"/>
      </w:pPr>
      <w:r>
        <w:t xml:space="preserve">23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31"/>
    <w:bookmarkStart w:id="32" w:name="central-venous-port-1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2"/>
    <w:bookmarkStart w:id="33" w:name="central-venous-port-2"/>
    <w:p>
      <w:pPr>
        <w:pStyle w:val="Heading2"/>
      </w:pPr>
      <w:r>
        <w:t xml:space="preserve">25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3"/>
    <w:bookmarkStart w:id="34" w:name="restaging"/>
    <w:p>
      <w:pPr>
        <w:pStyle w:val="Heading2"/>
      </w:pPr>
      <w:r>
        <w:t xml:space="preserve">26 Restaging</w:t>
      </w:r>
    </w:p>
    <w:p>
      <w:pPr>
        <w:pStyle w:val="FirstParagraph"/>
      </w:pPr>
      <w:r>
        <w:t xml:space="preserve">CT performed every 3-6 months to guide therapy</w:t>
      </w:r>
    </w:p>
    <w:p>
      <w:pPr>
        <w:pStyle w:val="BodyText"/>
      </w:pPr>
      <w:r>
        <w:br/>
      </w:r>
    </w:p>
    <w:p>
      <w:pPr>
        <w:numPr>
          <w:ilvl w:val="0"/>
          <w:numId w:val="1019"/>
        </w:numPr>
      </w:pPr>
      <w:r>
        <w:t xml:space="preserve">If CT shows shrinkage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continue</w:t>
      </w:r>
    </w:p>
    <w:p>
      <w:pPr>
        <w:numPr>
          <w:ilvl w:val="0"/>
          <w:numId w:val="1019"/>
        </w:numPr>
      </w:pPr>
      <w:r>
        <w:t xml:space="preserve">If CT shows growth of tumor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switch drugs</w:t>
      </w:r>
    </w:p>
    <w:bookmarkEnd w:id="34"/>
    <w:bookmarkStart w:id="35" w:name="protein-needs"/>
    <w:p>
      <w:pPr>
        <w:pStyle w:val="Heading2"/>
      </w:pPr>
      <w:r>
        <w:t xml:space="preserve">27 Protein Needs</w:t>
      </w:r>
    </w:p>
    <w:bookmarkEnd w:id="35"/>
    <w:bookmarkStart w:id="36" w:name="jejunostomy-tube"/>
    <w:p>
      <w:pPr>
        <w:pStyle w:val="Heading2"/>
      </w:pPr>
      <w:r>
        <w:t xml:space="preserve">28 Jejunostomy Tube</w:t>
      </w:r>
    </w:p>
    <w:bookmarkEnd w:id="36"/>
    <w:bookmarkStart w:id="37" w:name="jejunostomy-typical-regimen"/>
    <w:p>
      <w:pPr>
        <w:pStyle w:val="Heading2"/>
      </w:pPr>
      <w:r>
        <w:t xml:space="preserve">29 Jejunostomy Typical Regimen</w:t>
      </w:r>
    </w:p>
    <w:p>
      <w:pPr>
        <w:pStyle w:val="Compact"/>
        <w:numPr>
          <w:ilvl w:val="0"/>
          <w:numId w:val="1020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21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21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0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37"/>
    <w:bookmarkStart w:id="38" w:name="jejunostomy-feeds-with-diabetes"/>
    <w:p>
      <w:pPr>
        <w:pStyle w:val="Heading2"/>
      </w:pPr>
      <w:r>
        <w:t xml:space="preserve">30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22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23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23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23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23"/>
        </w:numPr>
      </w:pPr>
      <w:r>
        <w:t xml:space="preserve">No insulin if tube feedings are not run</w:t>
      </w:r>
    </w:p>
    <w:bookmarkEnd w:id="38"/>
    <w:bookmarkStart w:id="39" w:name="jejunostomy-video"/>
    <w:p>
      <w:pPr>
        <w:pStyle w:val="Heading2"/>
      </w:pPr>
      <w:r>
        <w:t xml:space="preserve">31 Jejunostomy Video</w:t>
      </w:r>
    </w:p>
    <w:bookmarkEnd w:id="39"/>
    <w:bookmarkStart w:id="40" w:name="additional-therapy---lung-metastasis"/>
    <w:p>
      <w:pPr>
        <w:pStyle w:val="Heading2"/>
      </w:pPr>
      <w:r>
        <w:t xml:space="preserve">32 Additional Therapy - Lung Metastasis</w:t>
      </w:r>
    </w:p>
    <w:p>
      <w:pPr>
        <w:pStyle w:val="FirstParagraph"/>
      </w:pPr>
      <w:r>
        <w:t xml:space="preserve">If there is a solitary spread of cancer to the lung:</w:t>
      </w:r>
    </w:p>
    <w:p>
      <w:pPr>
        <w:pStyle w:val="BodyText"/>
      </w:pPr>
      <w:r>
        <w:br/>
      </w:r>
      <w:r>
        <w:t xml:space="preserve">Stereotactic radiation can be performed</w:t>
      </w:r>
    </w:p>
    <w:p>
      <w:pPr>
        <w:pStyle w:val="BodyText"/>
      </w:pPr>
      <w:r>
        <w:t xml:space="preserve">Treatment will take 2-3 sessions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0"/>
    <w:bookmarkStart w:id="41" w:name="additional-therapy---bone-metastasis"/>
    <w:p>
      <w:pPr>
        <w:pStyle w:val="Heading2"/>
      </w:pPr>
      <w:r>
        <w:t xml:space="preserve">33 Additional Therapy - Bone Metastasis</w:t>
      </w:r>
    </w:p>
    <w:p>
      <w:pPr>
        <w:pStyle w:val="FirstParagraph"/>
      </w:pPr>
      <w:r>
        <w:br/>
      </w:r>
      <w:r>
        <w:t xml:space="preserve">Spread of cancer to bone can be painful</w:t>
      </w:r>
    </w:p>
    <w:p>
      <w:pPr>
        <w:pStyle w:val="BodyText"/>
      </w:pPr>
      <w:r>
        <w:br/>
      </w:r>
      <w:r>
        <w:t xml:space="preserve">Radiation therapy can be very effective</w:t>
      </w:r>
    </w:p>
    <w:p>
      <w:pPr>
        <w:pStyle w:val="BodyText"/>
      </w:pPr>
      <w:r>
        <w:t xml:space="preserve">Treatment can be one in 1 to 10 doses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41"/>
    <w:bookmarkStart w:id="42" w:name="additional-therapy---liver-metastasis"/>
    <w:p>
      <w:pPr>
        <w:pStyle w:val="Heading2"/>
      </w:pPr>
      <w:r>
        <w:t xml:space="preserve">34 Additional Therapy - Liver Metastasis</w:t>
      </w:r>
    </w:p>
    <w:p>
      <w:pPr>
        <w:pStyle w:val="FirstParagraph"/>
      </w:pPr>
      <w:r>
        <w:t xml:space="preserve">Several treatment options for spread of cancer to the liver that does not respond to chemotherapy:</w:t>
      </w:r>
    </w:p>
    <w:p>
      <w:pPr>
        <w:pStyle w:val="Compact"/>
        <w:numPr>
          <w:ilvl w:val="0"/>
          <w:numId w:val="1024"/>
        </w:numPr>
      </w:pPr>
      <w:r>
        <w:t xml:space="preserve">Stereotactic radiation</w:t>
      </w:r>
    </w:p>
    <w:p>
      <w:pPr>
        <w:pStyle w:val="Compact"/>
        <w:numPr>
          <w:ilvl w:val="0"/>
          <w:numId w:val="1024"/>
        </w:numPr>
      </w:pPr>
      <w:r>
        <w:t xml:space="preserve">Microwave ablation</w:t>
      </w:r>
    </w:p>
    <w:p>
      <w:pPr>
        <w:pStyle w:val="Compact"/>
        <w:numPr>
          <w:ilvl w:val="0"/>
          <w:numId w:val="1024"/>
        </w:numPr>
      </w:pPr>
      <w:r>
        <w:t xml:space="preserve">Radioactive beads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2"/>
    <w:bookmarkStart w:id="43" w:name="additional-therapy---carcinomatosis"/>
    <w:p>
      <w:pPr>
        <w:pStyle w:val="Heading2"/>
      </w:pPr>
      <w:r>
        <w:t xml:space="preserve">35 Additional Therapy - Carcinomatosis</w:t>
      </w:r>
    </w:p>
    <w:p>
      <w:pPr>
        <w:pStyle w:val="FirstParagraph"/>
      </w:pPr>
      <w:r>
        <w:t xml:space="preserve">Treatment for spread of cancer within the abdomen:</w:t>
      </w:r>
    </w:p>
    <w:p>
      <w:pPr>
        <w:pStyle w:val="Compact"/>
        <w:numPr>
          <w:ilvl w:val="0"/>
          <w:numId w:val="1025"/>
        </w:numPr>
      </w:pPr>
      <w:r>
        <w:t xml:space="preserve">Intraperitoneal chemo via catheter (Taxol)</w:t>
      </w:r>
    </w:p>
    <w:p>
      <w:pPr>
        <w:pStyle w:val="Compact"/>
        <w:numPr>
          <w:ilvl w:val="0"/>
          <w:numId w:val="1025"/>
        </w:numPr>
      </w:pPr>
      <w:r>
        <w:t xml:space="preserve">Heated intraperitoneal chemotherapy (HIPEC)</w:t>
      </w:r>
    </w:p>
    <w:p>
      <w:pPr>
        <w:pStyle w:val="Compact"/>
        <w:numPr>
          <w:ilvl w:val="0"/>
          <w:numId w:val="1025"/>
        </w:numPr>
      </w:pPr>
      <w:r>
        <w:t xml:space="preserve">Cytoreductive surgery (often in combination with HIPEC)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3"/>
    <w:bookmarkStart w:id="44" w:name="additional-therapy---surgery"/>
    <w:p>
      <w:pPr>
        <w:pStyle w:val="Heading2"/>
      </w:pPr>
      <w:r>
        <w:t xml:space="preserve">36 Additional Therapy - Surgery</w:t>
      </w:r>
    </w:p>
    <w:p>
      <w:pPr>
        <w:pStyle w:val="FirstParagraph"/>
      </w:pPr>
      <w:r>
        <w:t xml:space="preserve">Surgery can be performed in selected circumstances:</w:t>
      </w:r>
    </w:p>
    <w:p>
      <w:pPr>
        <w:numPr>
          <w:ilvl w:val="0"/>
          <w:numId w:val="1026"/>
        </w:numPr>
      </w:pPr>
      <w:r>
        <w:t xml:space="preserve">Perforation</w:t>
      </w:r>
    </w:p>
    <w:p>
      <w:pPr>
        <w:numPr>
          <w:ilvl w:val="0"/>
          <w:numId w:val="1026"/>
        </w:numPr>
      </w:pPr>
      <w:r>
        <w:t xml:space="preserve">Obstruction</w:t>
      </w:r>
    </w:p>
    <w:p>
      <w:pPr>
        <w:pStyle w:val="Compact"/>
        <w:numPr>
          <w:ilvl w:val="1"/>
          <w:numId w:val="1027"/>
        </w:numPr>
      </w:pPr>
      <w:r>
        <w:t xml:space="preserve">Removal of cancer and a portion of the stomach</w:t>
      </w:r>
    </w:p>
    <w:p>
      <w:pPr>
        <w:pStyle w:val="Compact"/>
        <w:numPr>
          <w:ilvl w:val="1"/>
          <w:numId w:val="1027"/>
        </w:numPr>
      </w:pPr>
      <w:r>
        <w:t xml:space="preserve">Bypass of the cancer</w:t>
      </w:r>
    </w:p>
    <w:p>
      <w:pPr>
        <w:numPr>
          <w:ilvl w:val="0"/>
          <w:numId w:val="1026"/>
        </w:numPr>
      </w:pPr>
      <w:r>
        <w:t xml:space="preserve">Residual disease in the stomach in patients responding to chemotherapy</w:t>
      </w:r>
    </w:p>
    <w:bookmarkEnd w:id="44"/>
    <w:bookmarkStart w:id="45" w:name="primary-care-practitioner-pcp"/>
    <w:p>
      <w:pPr>
        <w:pStyle w:val="Heading2"/>
      </w:pPr>
      <w:r>
        <w:t xml:space="preserve">37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38 My Atrium Patient Portal</w:t>
      </w:r>
    </w:p>
    <w:p>
      <w:pPr>
        <w:pStyle w:val="Compact"/>
        <w:numPr>
          <w:ilvl w:val="0"/>
          <w:numId w:val="1028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8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8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39 Exercise</w:t>
      </w:r>
    </w:p>
    <w:p>
      <w:pPr>
        <w:pStyle w:val="Compact"/>
        <w:numPr>
          <w:ilvl w:val="0"/>
          <w:numId w:val="1029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9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30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30"/>
        </w:numPr>
      </w:pPr>
      <w:r>
        <w:t xml:space="preserve">Start slowly and build up</w:t>
      </w:r>
    </w:p>
    <w:p>
      <w:pPr>
        <w:pStyle w:val="Compact"/>
        <w:numPr>
          <w:ilvl w:val="1"/>
          <w:numId w:val="1030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40 Smoking Cessation</w:t>
      </w:r>
    </w:p>
    <w:p>
      <w:pPr>
        <w:pStyle w:val="Compact"/>
        <w:numPr>
          <w:ilvl w:val="0"/>
          <w:numId w:val="1031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2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31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3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3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3"/>
        </w:numPr>
      </w:pPr>
      <w:r>
        <w:t xml:space="preserve">Smoking Cessation Counseling (Metro Charlotte)</w:t>
      </w:r>
    </w:p>
    <w:bookmarkEnd w:id="48"/>
    <w:bookmarkStart w:id="49" w:name="team-members---physicians"/>
    <w:p>
      <w:pPr>
        <w:pStyle w:val="Heading2"/>
      </w:pPr>
      <w:r>
        <w:t xml:space="preserve">41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</w:t>
      </w:r>
    </w:p>
    <w:p>
      <w:pPr>
        <w:pStyle w:val="Compact"/>
        <w:numPr>
          <w:ilvl w:val="0"/>
          <w:numId w:val="1034"/>
        </w:numPr>
      </w:pPr>
      <w:r>
        <w:t xml:space="preserve">Jonathan Salo MD</w:t>
      </w:r>
    </w:p>
    <w:bookmarkEnd w:id="49"/>
    <w:bookmarkStart w:id="50" w:name="team-members---support-staff"/>
    <w:p>
      <w:pPr>
        <w:pStyle w:val="Heading2"/>
      </w:pPr>
      <w:r>
        <w:t xml:space="preserve">42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35"/>
        </w:numPr>
      </w:pPr>
      <w:r>
        <w:t xml:space="preserve">Matthew Carpenter RN</w:t>
      </w:r>
    </w:p>
    <w:p>
      <w:pPr>
        <w:pStyle w:val="Compact"/>
        <w:numPr>
          <w:ilvl w:val="0"/>
          <w:numId w:val="1035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6"/>
        </w:numPr>
      </w:pPr>
      <w:r>
        <w:t xml:space="preserve">Laura Swift</w:t>
      </w:r>
    </w:p>
    <w:p>
      <w:pPr>
        <w:pStyle w:val="Compact"/>
        <w:numPr>
          <w:ilvl w:val="0"/>
          <w:numId w:val="1036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M1 Cancer of the Stomach</dc:title>
  <dc:creator/>
  <cp:keywords/>
  <dcterms:created xsi:type="dcterms:W3CDTF">2026-09-22T00:47:08Z</dcterms:created>
  <dcterms:modified xsi:type="dcterms:W3CDTF">2026-09-22T00:47:08Z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