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M1 Cancer of the Stomach</w:t>
      </w:r>
    </w:p>
    <w:bookmarkStart w:id="9" w:name="anatomy"/>
    <w:p>
      <w:pPr>
        <w:pStyle w:val="Heading2"/>
      </w:pPr>
      <w:r>
        <w:t xml:space="preserve">1 Anatomy</w:t>
      </w:r>
    </w:p>
    <w:p>
      <w:pPr>
        <w:pStyle w:val="FirstParagraph"/>
      </w:pPr>
      <w:r>
        <w:t xml:space="preserve">Food moves from the throat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esophagus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stomach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small bowel (jejunum)</w:t>
      </w:r>
    </w:p>
    <w:p>
      <w:pPr>
        <w:pStyle w:val="BodyText"/>
      </w:pPr>
      <w:r>
        <w:t xml:space="preserve">We’ll start with reviewing some anatomy about how the body digests food.</w:t>
      </w:r>
    </w:p>
    <w:p>
      <w:pPr>
        <w:pStyle w:val="BodyText"/>
      </w:pPr>
      <w:r>
        <w:t xml:space="preserve">Food moves from the throat to the esophagus, and from there to the stomach.</w:t>
      </w:r>
    </w:p>
    <w:p>
      <w:pPr>
        <w:pStyle w:val="BodyText"/>
      </w:pPr>
      <w:r>
        <w:t xml:space="preserve">From the stomach, food moved through a valve called the pylorus into the small intestines</w:t>
      </w:r>
    </w:p>
    <w:bookmarkEnd w:id="9"/>
    <w:bookmarkStart w:id="10" w:name="cancer-staging"/>
    <w:p>
      <w:pPr>
        <w:pStyle w:val="Heading2"/>
      </w:pPr>
      <w:r>
        <w:t xml:space="preserve">2 Cancer Staging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1"/>
        </w:numPr>
      </w:pPr>
      <w:r>
        <w:t xml:space="preserve">How large is the tumor?</w:t>
      </w:r>
    </w:p>
    <w:p>
      <w:pPr>
        <w:pStyle w:val="Compact"/>
        <w:numPr>
          <w:ilvl w:val="0"/>
          <w:numId w:val="1001"/>
        </w:numPr>
      </w:pPr>
      <w:r>
        <w:t xml:space="preserve">Has there been spread to lymph nodes?</w:t>
      </w:r>
    </w:p>
    <w:p>
      <w:pPr>
        <w:pStyle w:val="Compact"/>
        <w:numPr>
          <w:ilvl w:val="0"/>
          <w:numId w:val="1001"/>
        </w:numPr>
      </w:pPr>
      <w:r>
        <w:t xml:space="preserve">Has it spread to other parts of the body?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10"/>
    <w:bookmarkStart w:id="11" w:name="cancer-staging-1"/>
    <w:p>
      <w:pPr>
        <w:pStyle w:val="Heading2"/>
      </w:pPr>
      <w:r>
        <w:t xml:space="preserve">3 Cancer Staging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Tumor - Depth of growth into the wall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Nodes - Spread to the lymph nodes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Metastasis - Spread to liver, lungs, or bone</w:t>
      </w:r>
    </w:p>
    <w:bookmarkEnd w:id="11"/>
    <w:bookmarkStart w:id="12" w:name="early-stage-cancers"/>
    <w:p>
      <w:pPr>
        <w:pStyle w:val="Heading2"/>
      </w:pPr>
      <w:r>
        <w:t xml:space="preserve">4 Early Stage Cancers</w:t>
      </w:r>
    </w:p>
    <w:p>
      <w:pPr>
        <w:pStyle w:val="FirstParagraph"/>
      </w:pPr>
      <w:r>
        <w:t xml:space="preserve">Early-stage cancers are those that are small and have not grown very far into the wall</w:t>
      </w:r>
    </w:p>
    <w:p>
      <w:pPr>
        <w:pStyle w:val="BodyText"/>
      </w:pPr>
      <w:r>
        <w:br/>
      </w:r>
      <w:r>
        <w:br/>
      </w:r>
      <w:r>
        <w:t xml:space="preserve">Cancers start on the very inside layer called the mucosa</w:t>
      </w:r>
    </w:p>
    <w:bookmarkEnd w:id="12"/>
    <w:bookmarkStart w:id="13" w:name="locally-advanced-cancers"/>
    <w:p>
      <w:pPr>
        <w:pStyle w:val="Heading2"/>
      </w:pPr>
      <w:r>
        <w:t xml:space="preserve">5 Locally-advanced Cancers</w:t>
      </w:r>
    </w:p>
    <w:p>
      <w:pPr>
        <w:pStyle w:val="FirstParagraph"/>
      </w:pPr>
      <w:r>
        <w:br/>
      </w:r>
      <w:r>
        <w:br/>
      </w:r>
      <w:r>
        <w:t xml:space="preserve">Over time, cancers can grow into the muscular wall</w:t>
      </w:r>
    </w:p>
    <w:p>
      <w:pPr>
        <w:pStyle w:val="BodyText"/>
      </w:pPr>
      <w:r>
        <w:t xml:space="preserve">Locally-advanced cancers are those that have grown through the wall</w:t>
      </w:r>
    </w:p>
    <w:bookmarkEnd w:id="13"/>
    <w:bookmarkStart w:id="14" w:name="lymph-nodes"/>
    <w:p>
      <w:pPr>
        <w:pStyle w:val="Heading2"/>
      </w:pPr>
      <w:r>
        <w:t xml:space="preserve">6 Lymph Nodes</w:t>
      </w:r>
    </w:p>
    <w:p>
      <w:pPr>
        <w:pStyle w:val="FirstParagraph"/>
      </w:pPr>
      <w:r>
        <w:br/>
      </w:r>
      <w:r>
        <w:br/>
      </w:r>
      <w:r>
        <w:t xml:space="preserve">In some cases, cancer cells can break off from the main tumor and spread to lymph nodes</w:t>
      </w:r>
    </w:p>
    <w:p>
      <w:pPr>
        <w:pStyle w:val="BodyText"/>
      </w:pPr>
      <w:r>
        <w:t xml:space="preserve">If the lymph nodes contain enough cancer cells, they can be seen on CT scans or PET scans</w:t>
      </w:r>
    </w:p>
    <w:bookmarkEnd w:id="14"/>
    <w:bookmarkStart w:id="15" w:name="t-stage"/>
    <w:p>
      <w:pPr>
        <w:pStyle w:val="Heading2"/>
      </w:pPr>
      <w:r>
        <w:t xml:space="preserve">7 T Stage</w:t>
      </w:r>
    </w:p>
    <w:p>
      <w:pPr>
        <w:pStyle w:val="FirstParagraph"/>
      </w:pPr>
      <w:r>
        <w:br/>
      </w:r>
      <w:r>
        <w:br/>
      </w:r>
      <w:r>
        <w:t xml:space="preserve">Cancers are categorized based upon the thickness of the tumor, known as the T stage</w:t>
      </w:r>
    </w:p>
    <w:p>
      <w:pPr>
        <w:pStyle w:val="BodyText"/>
      </w:pPr>
      <w:r>
        <w:t xml:space="preserve">T1 tumors are early stage, and T4 tumors more advanced</w:t>
      </w:r>
    </w:p>
    <w:bookmarkEnd w:id="15"/>
    <w:bookmarkStart w:id="16" w:name="n-stage"/>
    <w:p>
      <w:pPr>
        <w:pStyle w:val="Heading2"/>
      </w:pPr>
      <w:r>
        <w:t xml:space="preserve">8 N Stage</w:t>
      </w:r>
    </w:p>
    <w:p>
      <w:pPr>
        <w:pStyle w:val="FirstParagraph"/>
      </w:pPr>
      <w:r>
        <w:t xml:space="preserve">Cancers are categorized by whether there is spread to the nodes.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N0</w:t>
      </w:r>
      <w:r>
        <w:t xml:space="preserve"> </w:t>
      </w:r>
      <w:r>
        <w:t xml:space="preserve">cancers have not spread to the nodes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N1</w:t>
      </w:r>
      <w:r>
        <w:t xml:space="preserve"> </w:t>
      </w:r>
      <w:r>
        <w:t xml:space="preserve">cancers have spread to the nodes.</w:t>
      </w:r>
    </w:p>
    <w:bookmarkEnd w:id="16"/>
    <w:bookmarkStart w:id="17" w:name="m-stage"/>
    <w:p>
      <w:pPr>
        <w:pStyle w:val="Heading2"/>
      </w:pPr>
      <w:r>
        <w:t xml:space="preserve">9 M Stage</w:t>
      </w:r>
    </w:p>
    <w:p>
      <w:pPr>
        <w:pStyle w:val="FirstParagraph"/>
      </w:pPr>
      <w:r>
        <w:t xml:space="preserve">Some cancers spread to other parts of the body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M0</w:t>
      </w:r>
      <w:r>
        <w:t xml:space="preserve"> </w:t>
      </w:r>
      <w:r>
        <w:t xml:space="preserve">cancers have not spread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cancers have spread to lungs, liver, bone, or within the abdomen</w:t>
      </w:r>
    </w:p>
    <w:bookmarkEnd w:id="17"/>
    <w:bookmarkStart w:id="18" w:name="carcinomatosis-m1"/>
    <w:p>
      <w:pPr>
        <w:pStyle w:val="Heading2"/>
      </w:pPr>
      <w:r>
        <w:t xml:space="preserve">10 Carcinomatosis (M1)</w:t>
      </w:r>
    </w:p>
    <w:p>
      <w:pPr>
        <w:pStyle w:val="FirstParagraph"/>
      </w:pPr>
      <w:r>
        <w:t xml:space="preserve">Spread within the abdomen is</w:t>
      </w:r>
      <w:r>
        <w:t xml:space="preserve"> </w:t>
      </w:r>
      <w:r>
        <w:rPr>
          <w:b/>
          <w:bCs/>
        </w:rPr>
        <w:t xml:space="preserve">carcinomatosis</w:t>
      </w:r>
    </w:p>
    <w:p>
      <w:pPr>
        <w:pStyle w:val="BodyText"/>
      </w:pPr>
      <w:r>
        <w:t xml:space="preserve">Tumors can be very small (grain of rice)</w:t>
      </w:r>
    </w:p>
    <w:p>
      <w:pPr>
        <w:pStyle w:val="BodyText"/>
      </w:pPr>
      <w:r>
        <w:t xml:space="preserve">Fluid can also build up:</w:t>
      </w:r>
      <w:r>
        <w:t xml:space="preserve"> </w:t>
      </w:r>
      <w:r>
        <w:rPr>
          <w:b/>
          <w:bCs/>
        </w:rPr>
        <w:t xml:space="preserve">ascites</w:t>
      </w:r>
    </w:p>
    <w:bookmarkEnd w:id="18"/>
    <w:bookmarkStart w:id="19" w:name="pet-scan"/>
    <w:p>
      <w:pPr>
        <w:pStyle w:val="Heading2"/>
      </w:pPr>
      <w:r>
        <w:t xml:space="preserve">11 PET scan</w:t>
      </w:r>
    </w:p>
    <w:p>
      <w:pPr>
        <w:pStyle w:val="FirstParagraph"/>
      </w:pPr>
      <w:r>
        <w:t xml:space="preserve">Similar to CT scan</w:t>
      </w:r>
    </w:p>
    <w:p>
      <w:pPr>
        <w:pStyle w:val="BodyText"/>
      </w:pPr>
      <w:r>
        <w:t xml:space="preserve">Tracer shows</w:t>
      </w:r>
      <w:r>
        <w:t xml:space="preserve"> </w:t>
      </w:r>
      <w:r>
        <w:t xml:space="preserve">‘hot spots’</w:t>
      </w:r>
    </w:p>
    <w:p>
      <w:pPr>
        <w:pStyle w:val="Compact"/>
        <w:numPr>
          <w:ilvl w:val="0"/>
          <w:numId w:val="1005"/>
        </w:numPr>
      </w:pPr>
      <w:r>
        <w:t xml:space="preserve">Cancer</w:t>
      </w:r>
    </w:p>
    <w:p>
      <w:pPr>
        <w:pStyle w:val="Compact"/>
        <w:numPr>
          <w:ilvl w:val="0"/>
          <w:numId w:val="1005"/>
        </w:numPr>
      </w:pPr>
      <w:r>
        <w:t xml:space="preserve">Inflammation or infection</w:t>
      </w:r>
    </w:p>
    <w:p>
      <w:pPr>
        <w:pStyle w:val="Compact"/>
        <w:numPr>
          <w:ilvl w:val="0"/>
          <w:numId w:val="1005"/>
        </w:numPr>
      </w:pPr>
      <w:r>
        <w:t xml:space="preserve">Normal organs (heart, kidneys)</w:t>
      </w:r>
    </w:p>
    <w:p>
      <w:pPr>
        <w:pStyle w:val="FirstParagraph"/>
      </w:pPr>
      <w:r>
        <w:t xml:space="preserve">In some cases, the PET scan is not performed until a CT scans b=has been done.</w:t>
      </w:r>
    </w:p>
    <w:bookmarkEnd w:id="19"/>
    <w:bookmarkStart w:id="20" w:name="pet-scan-preparation"/>
    <w:p>
      <w:pPr>
        <w:pStyle w:val="Heading2"/>
      </w:pPr>
      <w:r>
        <w:t xml:space="preserve">12 PET scan Preparation</w:t>
      </w:r>
    </w:p>
    <w:p>
      <w:pPr>
        <w:numPr>
          <w:ilvl w:val="0"/>
          <w:numId w:val="1006"/>
        </w:numPr>
      </w:pPr>
      <w:r>
        <w:t xml:space="preserve">Nothing to eat or drink for 4 hours prior to exam</w:t>
      </w:r>
    </w:p>
    <w:p>
      <w:pPr>
        <w:numPr>
          <w:ilvl w:val="0"/>
          <w:numId w:val="1006"/>
        </w:numPr>
      </w:pPr>
      <w:r>
        <w:t xml:space="preserve">High-protein low-carbohydrate diet the day prior</w:t>
      </w:r>
    </w:p>
    <w:p>
      <w:pPr>
        <w:numPr>
          <w:ilvl w:val="0"/>
          <w:numId w:val="1006"/>
        </w:numPr>
      </w:pPr>
      <w:r>
        <w:t xml:space="preserve">No strenous activity day prior to study</w:t>
      </w:r>
    </w:p>
    <w:bookmarkEnd w:id="20"/>
    <w:bookmarkStart w:id="21" w:name="pet-scan-prepration---diabetic-patients"/>
    <w:p>
      <w:pPr>
        <w:pStyle w:val="Heading2"/>
      </w:pPr>
      <w:r>
        <w:t xml:space="preserve">13 PET scan Prepration - Diabetic Patients</w:t>
      </w:r>
    </w:p>
    <w:p>
      <w:pPr>
        <w:pStyle w:val="FirstParagraph"/>
      </w:pPr>
      <w:r>
        <w:t xml:space="preserve">PET scan uses a modified sugar as a tracer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you will need to be careful about blood sugar and insulin before the study</w:t>
      </w:r>
    </w:p>
    <w:p>
      <w:pPr>
        <w:pStyle w:val="Compact"/>
        <w:numPr>
          <w:ilvl w:val="0"/>
          <w:numId w:val="1007"/>
        </w:numPr>
      </w:pPr>
      <w:r>
        <w:t xml:space="preserve">No insulin within 4 hours of the exam</w:t>
      </w:r>
    </w:p>
    <w:p>
      <w:pPr>
        <w:pStyle w:val="Compact"/>
        <w:numPr>
          <w:ilvl w:val="0"/>
          <w:numId w:val="1007"/>
        </w:numPr>
      </w:pPr>
      <w:r>
        <w:t xml:space="preserve">OK to take diabetes pills the day of the exam</w:t>
      </w:r>
    </w:p>
    <w:p>
      <w:pPr>
        <w:pStyle w:val="Compact"/>
        <w:numPr>
          <w:ilvl w:val="0"/>
          <w:numId w:val="1007"/>
        </w:numPr>
      </w:pPr>
      <w:r>
        <w:t xml:space="preserve">PET scans are generally best in the morning</w:t>
      </w:r>
    </w:p>
    <w:p>
      <w:pPr>
        <w:pStyle w:val="Compact"/>
        <w:numPr>
          <w:ilvl w:val="0"/>
          <w:numId w:val="1007"/>
        </w:numPr>
      </w:pPr>
      <w:r>
        <w:t xml:space="preserve">Plan to eat a meal after the PET scan, with half the usual morning dose of insulin</w:t>
      </w:r>
    </w:p>
    <w:bookmarkEnd w:id="21"/>
    <w:bookmarkStart w:id="22" w:name="Xf350099f6d659e07cb2f27fc37620fedaa63615"/>
    <w:p>
      <w:pPr>
        <w:pStyle w:val="Heading2"/>
      </w:pPr>
      <w:r>
        <w:t xml:space="preserve">14 PET scan Prepration - Diabetic Patients</w:t>
      </w:r>
    </w:p>
    <w:p>
      <w:pPr>
        <w:pStyle w:val="Compact"/>
        <w:numPr>
          <w:ilvl w:val="0"/>
          <w:numId w:val="1008"/>
        </w:numPr>
      </w:pPr>
      <w:r>
        <w:t xml:space="preserve">If PET is scheduled after 10AM:</w:t>
      </w:r>
    </w:p>
    <w:p>
      <w:pPr>
        <w:pStyle w:val="Compact"/>
        <w:numPr>
          <w:ilvl w:val="1"/>
          <w:numId w:val="1009"/>
        </w:numPr>
      </w:pPr>
      <w:r>
        <w:t xml:space="preserve">low-carbohydrate breakfast at least 4 hours before</w:t>
      </w:r>
    </w:p>
    <w:p>
      <w:pPr>
        <w:pStyle w:val="Compact"/>
        <w:numPr>
          <w:ilvl w:val="1"/>
          <w:numId w:val="1009"/>
        </w:numPr>
      </w:pPr>
      <w:r>
        <w:t xml:space="preserve">half the usual regular (short-acting) insulin</w:t>
      </w:r>
    </w:p>
    <w:p>
      <w:pPr>
        <w:pStyle w:val="Compact"/>
        <w:numPr>
          <w:ilvl w:val="0"/>
          <w:numId w:val="1008"/>
        </w:numPr>
      </w:pPr>
      <w:r>
        <w:t xml:space="preserve">No long-acting insulin after midnight.</w:t>
      </w:r>
    </w:p>
    <w:p>
      <w:pPr>
        <w:pStyle w:val="Compact"/>
        <w:numPr>
          <w:ilvl w:val="0"/>
          <w:numId w:val="1008"/>
        </w:numPr>
      </w:pPr>
      <w:r>
        <w:t xml:space="preserve">Insulin pump: turn it off 4 hours before the study (or turn it down to basal/night-time rate)</w:t>
      </w:r>
    </w:p>
    <w:bookmarkEnd w:id="22"/>
    <w:bookmarkStart w:id="23" w:name="endoscopic-ultrasound"/>
    <w:p>
      <w:pPr>
        <w:pStyle w:val="Heading2"/>
      </w:pPr>
      <w:r>
        <w:t xml:space="preserve">15 Endoscopic Ultrasound</w:t>
      </w:r>
    </w:p>
    <w:p>
      <w:pPr>
        <w:pStyle w:val="Compact"/>
        <w:numPr>
          <w:ilvl w:val="0"/>
          <w:numId w:val="1010"/>
        </w:numPr>
      </w:pPr>
      <w:r>
        <w:t xml:space="preserve">Similar to upper endoscopy (EGD)</w:t>
      </w:r>
    </w:p>
    <w:p>
      <w:pPr>
        <w:pStyle w:val="Compact"/>
        <w:numPr>
          <w:ilvl w:val="0"/>
          <w:numId w:val="1010"/>
        </w:numPr>
      </w:pPr>
      <w:r>
        <w:t xml:space="preserve">Ultrasound in scope</w:t>
      </w:r>
    </w:p>
    <w:p>
      <w:pPr>
        <w:pStyle w:val="Compact"/>
        <w:numPr>
          <w:ilvl w:val="0"/>
          <w:numId w:val="1010"/>
        </w:numPr>
      </w:pPr>
      <w:r>
        <w:t xml:space="preserve">Evaluates T stage</w:t>
      </w:r>
    </w:p>
    <w:p>
      <w:pPr>
        <w:pStyle w:val="FirstParagraph"/>
      </w:pPr>
      <w:r>
        <w:t xml:space="preserve">Endoscopic ultrasound is most helpful in early stage cancers.</w:t>
      </w:r>
    </w:p>
    <w:bookmarkEnd w:id="23"/>
    <w:bookmarkStart w:id="24" w:name="laparoscopy"/>
    <w:p>
      <w:pPr>
        <w:pStyle w:val="Heading2"/>
      </w:pPr>
      <w:r>
        <w:t xml:space="preserve">16 Laparoscopy</w:t>
      </w:r>
    </w:p>
    <w:p>
      <w:pPr>
        <w:pStyle w:val="Compact"/>
        <w:numPr>
          <w:ilvl w:val="0"/>
          <w:numId w:val="1011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11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11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24"/>
    <w:bookmarkStart w:id="25" w:name="laparoscopy-1"/>
    <w:p>
      <w:pPr>
        <w:pStyle w:val="Heading2"/>
      </w:pPr>
      <w:r>
        <w:t xml:space="preserve">17 Laparoscopy</w:t>
      </w:r>
    </w:p>
    <w:p>
      <w:pPr>
        <w:pStyle w:val="Compact"/>
        <w:numPr>
          <w:ilvl w:val="0"/>
          <w:numId w:val="1012"/>
        </w:numPr>
      </w:pPr>
      <w:r>
        <w:t xml:space="preserve">General anesthetic</w:t>
      </w:r>
    </w:p>
    <w:p>
      <w:pPr>
        <w:pStyle w:val="Compact"/>
        <w:numPr>
          <w:ilvl w:val="0"/>
          <w:numId w:val="1012"/>
        </w:numPr>
      </w:pPr>
      <w:r>
        <w:t xml:space="preserve">1/4” incisions</w:t>
      </w:r>
    </w:p>
    <w:p>
      <w:pPr>
        <w:pStyle w:val="Compact"/>
        <w:numPr>
          <w:ilvl w:val="0"/>
          <w:numId w:val="1012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12"/>
        </w:numPr>
      </w:pPr>
      <w:r>
        <w:t xml:space="preserve">Biopsies performed</w:t>
      </w:r>
    </w:p>
    <w:p>
      <w:pPr>
        <w:pStyle w:val="Compact"/>
        <w:numPr>
          <w:ilvl w:val="0"/>
          <w:numId w:val="1012"/>
        </w:numPr>
      </w:pPr>
      <w:r>
        <w:t xml:space="preserve">Fluid sampled</w:t>
      </w:r>
    </w:p>
    <w:bookmarkEnd w:id="25"/>
    <w:bookmarkStart w:id="26" w:name="treatment-plan"/>
    <w:p>
      <w:pPr>
        <w:pStyle w:val="Heading2"/>
      </w:pPr>
      <w:r>
        <w:t xml:space="preserve">18 Treatment Plan</w:t>
      </w:r>
    </w:p>
    <w:p>
      <w:pPr>
        <w:pStyle w:val="FirstParagraph"/>
      </w:pPr>
      <w:r>
        <w:br/>
      </w:r>
      <w:r>
        <w:t xml:space="preserve">Superficial (T1a): Endoscopic Therapy</w:t>
      </w:r>
      <w:r>
        <w:br/>
      </w:r>
      <w:r>
        <w:br/>
      </w:r>
      <w:r>
        <w:t xml:space="preserve">Localized (T1b/T2): Surgery</w:t>
      </w:r>
      <w:r>
        <w:br/>
      </w:r>
      <w:r>
        <w:br/>
      </w:r>
      <w:r>
        <w:t xml:space="preserve">Locally-advanced (T3M0): Chemo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br/>
      </w:r>
      <w:r>
        <w:br/>
      </w:r>
      <w:r>
        <w:t xml:space="preserve">Metastatic (M1): Chemotherapy</w:t>
      </w:r>
    </w:p>
    <w:p>
      <w:pPr>
        <w:pStyle w:val="BodyText"/>
      </w:pPr>
      <w:r>
        <w:t xml:space="preserve">This table summarizes four different treatment categories:</w:t>
      </w:r>
    </w:p>
    <w:p>
      <w:pPr>
        <w:pStyle w:val="Compact"/>
        <w:numPr>
          <w:ilvl w:val="0"/>
          <w:numId w:val="1013"/>
        </w:numPr>
      </w:pPr>
      <w:r>
        <w:t xml:space="preserve">Superficial cancers are T1 and can be treated by endoscopic therapy without the need for surgery</w:t>
      </w:r>
    </w:p>
    <w:p>
      <w:pPr>
        <w:pStyle w:val="Compact"/>
        <w:numPr>
          <w:ilvl w:val="0"/>
          <w:numId w:val="1013"/>
        </w:numPr>
      </w:pPr>
      <w:r>
        <w:t xml:space="preserve">Localized cancers are T1b or T2 and are frequently treated by surgery alone</w:t>
      </w:r>
    </w:p>
    <w:p>
      <w:pPr>
        <w:pStyle w:val="Compact"/>
        <w:numPr>
          <w:ilvl w:val="0"/>
          <w:numId w:val="1013"/>
        </w:numPr>
      </w:pPr>
      <w:r>
        <w:t xml:space="preserve">Locally-advanced cancers are T3 and M0 and are usually treated with chemotherapy prior to surgery</w:t>
      </w:r>
    </w:p>
    <w:p>
      <w:pPr>
        <w:pStyle w:val="Compact"/>
        <w:numPr>
          <w:ilvl w:val="0"/>
          <w:numId w:val="1013"/>
        </w:numPr>
      </w:pPr>
      <w:r>
        <w:t xml:space="preserve">Metastatic cancers are M1 and are treated primary by chemotherapy.</w:t>
      </w:r>
    </w:p>
    <w:bookmarkEnd w:id="26"/>
    <w:bookmarkStart w:id="27" w:name="tumor-biomarkers---additional-pathology"/>
    <w:p>
      <w:pPr>
        <w:pStyle w:val="Heading2"/>
      </w:pPr>
      <w:r>
        <w:t xml:space="preserve">19 Tumor Biomarkers - Additional Pathology</w:t>
      </w:r>
    </w:p>
    <w:p>
      <w:pPr>
        <w:pStyle w:val="Compact"/>
        <w:numPr>
          <w:ilvl w:val="0"/>
          <w:numId w:val="1014"/>
        </w:numPr>
      </w:pPr>
      <w:r>
        <w:t xml:space="preserve">PD-L1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helpful</w:t>
      </w:r>
    </w:p>
    <w:p>
      <w:pPr>
        <w:pStyle w:val="Compact"/>
        <w:numPr>
          <w:ilvl w:val="0"/>
          <w:numId w:val="1014"/>
        </w:numPr>
      </w:pPr>
      <w:r>
        <w:t xml:space="preserve">MMR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very helpful</w:t>
      </w:r>
    </w:p>
    <w:p>
      <w:pPr>
        <w:pStyle w:val="Compact"/>
        <w:numPr>
          <w:ilvl w:val="0"/>
          <w:numId w:val="1014"/>
        </w:numPr>
      </w:pPr>
      <w:r>
        <w:t xml:space="preserve">HER-2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Herceptin (Stage IV)</w:t>
      </w:r>
    </w:p>
    <w:p>
      <w:pPr>
        <w:pStyle w:val="Compact"/>
        <w:numPr>
          <w:ilvl w:val="0"/>
          <w:numId w:val="1014"/>
        </w:numPr>
      </w:pPr>
      <w:r>
        <w:t xml:space="preserve">Claudin 18.2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zolbetuximab (Stage IV)</w:t>
      </w:r>
    </w:p>
    <w:p>
      <w:pPr>
        <w:pStyle w:val="FirstParagraph"/>
      </w:pPr>
      <w:r>
        <w:t xml:space="preserve">Biomarkers reported in a separate pathology report</w:t>
      </w:r>
    </w:p>
    <w:p>
      <w:pPr>
        <w:pStyle w:val="BodyText"/>
      </w:pPr>
      <w:r>
        <w:t xml:space="preserve">Your medical oncologist will review these with you</w:t>
      </w:r>
    </w:p>
    <w:bookmarkEnd w:id="27"/>
    <w:bookmarkStart w:id="28" w:name="tumor-genetic-analysis"/>
    <w:p>
      <w:pPr>
        <w:pStyle w:val="Heading2"/>
      </w:pPr>
      <w:r>
        <w:t xml:space="preserve">20 Tumor Genetic Analysis</w:t>
      </w:r>
    </w:p>
    <w:p>
      <w:pPr>
        <w:pStyle w:val="FirstParagraph"/>
      </w:pPr>
      <w:r>
        <w:t xml:space="preserve">For patients with Stage IV disease, genetic testing of the cancer can be performed:</w:t>
      </w:r>
    </w:p>
    <w:p>
      <w:pPr>
        <w:pStyle w:val="BodyText"/>
      </w:pPr>
      <w:r>
        <w:t xml:space="preserve">May help identify effective drugs</w:t>
      </w:r>
    </w:p>
    <w:p>
      <w:pPr>
        <w:pStyle w:val="BodyText"/>
      </w:pPr>
      <w:r>
        <w:t xml:space="preserve">Your medical oncologist will review these with you</w:t>
      </w:r>
    </w:p>
    <w:bookmarkEnd w:id="28"/>
    <w:bookmarkStart w:id="29" w:name="chemotherapy-administration"/>
    <w:p>
      <w:pPr>
        <w:pStyle w:val="Heading2"/>
      </w:pPr>
      <w:r>
        <w:t xml:space="preserve">21 Chemotherapy Administration</w:t>
      </w:r>
    </w:p>
    <w:p>
      <w:pPr>
        <w:pStyle w:val="FirstParagraph"/>
      </w:pPr>
      <w:r>
        <w:t xml:space="preserve">Most chemotherapy is administered by vein.</w:t>
      </w:r>
    </w:p>
    <w:p>
      <w:pPr>
        <w:pStyle w:val="BodyText"/>
      </w:pPr>
      <w:r>
        <w:t xml:space="preserve">Several options exist to administer chemotherapy:</w:t>
      </w:r>
    </w:p>
    <w:p>
      <w:pPr>
        <w:pStyle w:val="Compact"/>
        <w:numPr>
          <w:ilvl w:val="0"/>
          <w:numId w:val="1015"/>
        </w:numPr>
      </w:pPr>
      <w:r>
        <w:t xml:space="preserve">Intravenous catheter in peripheral veins</w:t>
      </w:r>
    </w:p>
    <w:p>
      <w:pPr>
        <w:pStyle w:val="Compact"/>
        <w:numPr>
          <w:ilvl w:val="0"/>
          <w:numId w:val="1015"/>
        </w:numPr>
      </w:pPr>
      <w:r>
        <w:t xml:space="preserve">Peripheral Intravenous Central Catheter (PICC)</w:t>
      </w:r>
    </w:p>
    <w:p>
      <w:pPr>
        <w:pStyle w:val="Compact"/>
        <w:numPr>
          <w:ilvl w:val="0"/>
          <w:numId w:val="1015"/>
        </w:numPr>
      </w:pPr>
      <w:r>
        <w:t xml:space="preserve">Central Venous port</w:t>
      </w:r>
    </w:p>
    <w:bookmarkEnd w:id="29"/>
    <w:bookmarkStart w:id="30" w:name="X24de4000c031f200c5dfe01452aa364022c5d0d"/>
    <w:p>
      <w:pPr>
        <w:pStyle w:val="Heading2"/>
      </w:pPr>
      <w:r>
        <w:t xml:space="preserve">22 Intravenous Catheter in Peripheral Vein (</w:t>
      </w:r>
      <w:r>
        <w:t xml:space="preserve">“IV”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IV catheter placed in vein of hand or arm</w:t>
      </w:r>
    </w:p>
    <w:p>
      <w:pPr>
        <w:pStyle w:val="Compact"/>
        <w:numPr>
          <w:ilvl w:val="0"/>
          <w:numId w:val="1016"/>
        </w:numPr>
      </w:pPr>
      <w:r>
        <w:t xml:space="preserve">Allows administration of chemo and fluids</w:t>
      </w:r>
    </w:p>
    <w:p>
      <w:pPr>
        <w:pStyle w:val="Compact"/>
        <w:numPr>
          <w:ilvl w:val="0"/>
          <w:numId w:val="1016"/>
        </w:numPr>
      </w:pPr>
      <w:r>
        <w:t xml:space="preserve">Placed for each dose</w:t>
      </w:r>
    </w:p>
    <w:p>
      <w:pPr>
        <w:pStyle w:val="Compact"/>
        <w:numPr>
          <w:ilvl w:val="0"/>
          <w:numId w:val="1016"/>
        </w:numPr>
      </w:pPr>
      <w:r>
        <w:t xml:space="preserve">Removed that day</w:t>
      </w:r>
    </w:p>
    <w:p>
      <w:pPr>
        <w:pStyle w:val="Compact"/>
        <w:numPr>
          <w:ilvl w:val="0"/>
          <w:numId w:val="1016"/>
        </w:numPr>
      </w:pPr>
      <w:r>
        <w:t xml:space="preserve">Not suitable for FLOT chemo</w:t>
      </w:r>
    </w:p>
    <w:p>
      <w:pPr>
        <w:pStyle w:val="FirstParagraph"/>
      </w:pPr>
      <w:r>
        <w:t xml:space="preserve">A peripheral IV catheter involves placing a small tube into the veins, which is then used to give fluids or chemotherapy</w:t>
      </w:r>
    </w:p>
    <w:p>
      <w:pPr>
        <w:pStyle w:val="BodyText"/>
      </w:pPr>
      <w:r>
        <w:t xml:space="preserve">A new catheter is placed for each dose of chemotherapy</w:t>
      </w:r>
    </w:p>
    <w:p>
      <w:pPr>
        <w:pStyle w:val="BodyText"/>
      </w:pPr>
      <w:r>
        <w:t xml:space="preserve">FLOT chemotherapy requires a home infusion pump, got which a peripheral IV won’t work</w:t>
      </w:r>
    </w:p>
    <w:bookmarkEnd w:id="30"/>
    <w:bookmarkStart w:id="31" w:name="central-venous-port"/>
    <w:p>
      <w:pPr>
        <w:pStyle w:val="Heading2"/>
      </w:pPr>
      <w:r>
        <w:t xml:space="preserve">23 Central Venous Port</w:t>
      </w:r>
    </w:p>
    <w:p>
      <w:pPr>
        <w:pStyle w:val="Compact"/>
        <w:numPr>
          <w:ilvl w:val="0"/>
          <w:numId w:val="1017"/>
        </w:numPr>
      </w:pPr>
      <w:r>
        <w:t xml:space="preserve">Implantable device makes chemo easier</w:t>
      </w:r>
    </w:p>
    <w:p>
      <w:pPr>
        <w:pStyle w:val="Compact"/>
        <w:numPr>
          <w:ilvl w:val="0"/>
          <w:numId w:val="1017"/>
        </w:numPr>
      </w:pPr>
      <w:r>
        <w:t xml:space="preserve">May shower in 24 hrs</w:t>
      </w:r>
    </w:p>
    <w:p>
      <w:pPr>
        <w:pStyle w:val="Compact"/>
        <w:numPr>
          <w:ilvl w:val="0"/>
          <w:numId w:val="1017"/>
        </w:numPr>
      </w:pPr>
      <w:r>
        <w:t xml:space="preserve">No special care at home</w:t>
      </w:r>
    </w:p>
    <w:p>
      <w:pPr>
        <w:pStyle w:val="Compact"/>
        <w:numPr>
          <w:ilvl w:val="0"/>
          <w:numId w:val="1017"/>
        </w:numPr>
      </w:pPr>
      <w:r>
        <w:t xml:space="preserve">OK for FLOT chemo</w:t>
      </w:r>
    </w:p>
    <w:p>
      <w:pPr>
        <w:pStyle w:val="Compact"/>
        <w:numPr>
          <w:ilvl w:val="0"/>
          <w:numId w:val="1017"/>
        </w:numPr>
      </w:pPr>
      <w:r>
        <w:t xml:space="preserve">Allows for blood draws</w:t>
      </w:r>
    </w:p>
    <w:p>
      <w:pPr>
        <w:pStyle w:val="FirstParagraph"/>
      </w:pPr>
      <w:r>
        <w:t xml:space="preserve">A central venous port is an implantable device that makes the administration of chemotherapy easier.</w:t>
      </w:r>
    </w:p>
    <w:p>
      <w:pPr>
        <w:pStyle w:val="BodyText"/>
      </w:pPr>
      <w:r>
        <w:t xml:space="preserve">Once it is in place, it requires no special care at home</w:t>
      </w:r>
    </w:p>
    <w:p>
      <w:pPr>
        <w:pStyle w:val="BodyText"/>
      </w:pPr>
      <w:r>
        <w:t xml:space="preserve">With a port, you can shower, bathe, and swim without restriction</w:t>
      </w:r>
    </w:p>
    <w:p>
      <w:pPr>
        <w:pStyle w:val="BodyText"/>
      </w:pPr>
      <w:r>
        <w:t xml:space="preserve">A central venous port is suitable for FLOT chemotherapy</w:t>
      </w:r>
    </w:p>
    <w:p>
      <w:pPr>
        <w:pStyle w:val="BodyText"/>
      </w:pPr>
      <w:r>
        <w:t xml:space="preserve">A port can be used for blood draws for blood tests as well.</w:t>
      </w:r>
    </w:p>
    <w:bookmarkEnd w:id="31"/>
    <w:bookmarkStart w:id="32" w:name="central-venous-port-1"/>
    <w:p>
      <w:pPr>
        <w:pStyle w:val="Heading2"/>
      </w:pPr>
      <w:r>
        <w:t xml:space="preserve">24 Central Venous Port</w:t>
      </w:r>
    </w:p>
    <w:p>
      <w:pPr>
        <w:pStyle w:val="Compact"/>
        <w:numPr>
          <w:ilvl w:val="0"/>
          <w:numId w:val="1018"/>
        </w:numPr>
      </w:pPr>
      <w:r>
        <w:t xml:space="preserve">Implanted under skin</w:t>
      </w:r>
    </w:p>
    <w:p>
      <w:pPr>
        <w:pStyle w:val="Compact"/>
        <w:numPr>
          <w:ilvl w:val="0"/>
          <w:numId w:val="1018"/>
        </w:numPr>
      </w:pPr>
      <w:r>
        <w:t xml:space="preserve">Neck incision (1/4”)</w:t>
      </w:r>
    </w:p>
    <w:p>
      <w:pPr>
        <w:pStyle w:val="Compact"/>
        <w:numPr>
          <w:ilvl w:val="0"/>
          <w:numId w:val="1018"/>
        </w:numPr>
      </w:pPr>
      <w:r>
        <w:t xml:space="preserve">Incision below the collarbone</w:t>
      </w:r>
    </w:p>
    <w:p>
      <w:pPr>
        <w:pStyle w:val="Compact"/>
        <w:numPr>
          <w:ilvl w:val="0"/>
          <w:numId w:val="1018"/>
        </w:numPr>
      </w:pPr>
      <w:r>
        <w:t xml:space="preserve">Sutures dissolve</w:t>
      </w:r>
    </w:p>
    <w:p>
      <w:pPr>
        <w:pStyle w:val="Compact"/>
        <w:numPr>
          <w:ilvl w:val="0"/>
          <w:numId w:val="1018"/>
        </w:numPr>
      </w:pPr>
      <w:r>
        <w:t xml:space="preserve">“Superglue”</w:t>
      </w:r>
      <w:r>
        <w:t xml:space="preserve"> </w:t>
      </w:r>
      <w:r>
        <w:t xml:space="preserve">on incisions</w:t>
      </w:r>
    </w:p>
    <w:p>
      <w:pPr>
        <w:pStyle w:val="FirstParagraph"/>
      </w:pPr>
      <w:r>
        <w:t xml:space="preserve">A port is placed underneath the skin and usually below the right collarbone.</w:t>
      </w:r>
    </w:p>
    <w:p>
      <w:pPr>
        <w:pStyle w:val="BodyText"/>
      </w:pPr>
      <w:r>
        <w:t xml:space="preserve">Two incisions are made for placement: a quarter-inch incision over the neck, and a one-inch incision below the collarbone.</w:t>
      </w:r>
    </w:p>
    <w:p>
      <w:pPr>
        <w:pStyle w:val="BodyText"/>
      </w:pPr>
      <w:r>
        <w:t xml:space="preserve">Sutures are under the skin and dissolve on their own</w:t>
      </w:r>
    </w:p>
    <w:p>
      <w:pPr>
        <w:pStyle w:val="BodyText"/>
      </w:pPr>
      <w:r>
        <w:t xml:space="preserve">Surgical</w:t>
      </w:r>
      <w:r>
        <w:t xml:space="preserve"> </w:t>
      </w:r>
      <w:r>
        <w:t xml:space="preserve">“Super Glue”</w:t>
      </w:r>
      <w:r>
        <w:t xml:space="preserve"> </w:t>
      </w:r>
      <w:r>
        <w:t xml:space="preserve">covers the incisions and flakes off after a week or so</w:t>
      </w:r>
    </w:p>
    <w:bookmarkEnd w:id="32"/>
    <w:bookmarkStart w:id="33" w:name="central-venous-port-2"/>
    <w:p>
      <w:pPr>
        <w:pStyle w:val="Heading2"/>
      </w:pPr>
      <w:r>
        <w:t xml:space="preserve">25 Central Venous Port</w:t>
      </w:r>
    </w:p>
    <w:p>
      <w:pPr>
        <w:pStyle w:val="FirstParagraph"/>
      </w:pPr>
      <w:r>
        <w:t xml:space="preserve">When it is time for chemotherapy, a needle is inserted through the skin into the port</w:t>
      </w:r>
    </w:p>
    <w:p>
      <w:pPr>
        <w:pStyle w:val="BodyText"/>
      </w:pPr>
      <w:r>
        <w:t xml:space="preserve">When it comes time for chemotherapy, the nurses can easily access the port with a needle that goes through the skin into the port, rather than placing an intravenous needle in a vein. The drugs can then be administered directly into the bloodstream. If blood needs to be drawn for tests, this can also be done through the port.</w:t>
      </w:r>
    </w:p>
    <w:bookmarkEnd w:id="33"/>
    <w:bookmarkStart w:id="34" w:name="restaging"/>
    <w:p>
      <w:pPr>
        <w:pStyle w:val="Heading2"/>
      </w:pPr>
      <w:r>
        <w:t xml:space="preserve">26 Restaging</w:t>
      </w:r>
    </w:p>
    <w:p>
      <w:pPr>
        <w:pStyle w:val="FirstParagraph"/>
      </w:pPr>
      <w:r>
        <w:t xml:space="preserve">CT performed every 3-6 months to guide therapy</w:t>
      </w:r>
    </w:p>
    <w:p>
      <w:pPr>
        <w:pStyle w:val="BodyText"/>
      </w:pPr>
      <w:r>
        <w:br/>
      </w:r>
    </w:p>
    <w:p>
      <w:pPr>
        <w:numPr>
          <w:ilvl w:val="0"/>
          <w:numId w:val="1019"/>
        </w:numPr>
      </w:pPr>
      <w:r>
        <w:t xml:space="preserve">If CT shows shrinkage of tumor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continue</w:t>
      </w:r>
    </w:p>
    <w:p>
      <w:pPr>
        <w:numPr>
          <w:ilvl w:val="0"/>
          <w:numId w:val="1019"/>
        </w:numPr>
      </w:pPr>
      <w:r>
        <w:t xml:space="preserve">If CT shows growth of tumor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switch drugs</w:t>
      </w:r>
    </w:p>
    <w:bookmarkEnd w:id="34"/>
    <w:bookmarkStart w:id="35" w:name="protein-needs"/>
    <w:p>
      <w:pPr>
        <w:pStyle w:val="Heading2"/>
      </w:pPr>
      <w:r>
        <w:t xml:space="preserve">27 Protein Needs</w:t>
      </w:r>
    </w:p>
    <w:bookmarkEnd w:id="35"/>
    <w:bookmarkStart w:id="36" w:name="jejunostomy-tube"/>
    <w:p>
      <w:pPr>
        <w:pStyle w:val="Heading2"/>
      </w:pPr>
      <w:r>
        <w:t xml:space="preserve">28 Jejunostomy Tube</w:t>
      </w:r>
    </w:p>
    <w:bookmarkEnd w:id="36"/>
    <w:bookmarkStart w:id="37" w:name="jejunostomy-feeding-pump"/>
    <w:p>
      <w:pPr>
        <w:pStyle w:val="Heading2"/>
      </w:pPr>
      <w:r>
        <w:t xml:space="preserve">29 Jejunostomy Feeding Pump</w:t>
      </w:r>
    </w:p>
    <w:bookmarkEnd w:id="37"/>
    <w:bookmarkStart w:id="38" w:name="jejunostomy-typical-regimen"/>
    <w:p>
      <w:pPr>
        <w:pStyle w:val="Heading2"/>
      </w:pPr>
      <w:r>
        <w:t xml:space="preserve">30 Jejunostomy Typical Regimen</w:t>
      </w:r>
    </w:p>
    <w:p>
      <w:pPr>
        <w:pStyle w:val="Compact"/>
        <w:numPr>
          <w:ilvl w:val="0"/>
          <w:numId w:val="1020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21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21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20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38"/>
    <w:bookmarkStart w:id="39" w:name="jejunostomy-feeds-with-diabetes"/>
    <w:p>
      <w:pPr>
        <w:pStyle w:val="Heading2"/>
      </w:pPr>
      <w:r>
        <w:t xml:space="preserve">31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22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23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23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23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23"/>
        </w:numPr>
      </w:pPr>
      <w:r>
        <w:t xml:space="preserve">No insulin if tube feedings are not run</w:t>
      </w:r>
    </w:p>
    <w:bookmarkEnd w:id="39"/>
    <w:bookmarkStart w:id="40" w:name="jejunostomy-video"/>
    <w:p>
      <w:pPr>
        <w:pStyle w:val="Heading2"/>
      </w:pPr>
      <w:r>
        <w:t xml:space="preserve">32 Jejunostomy Video</w:t>
      </w:r>
    </w:p>
    <w:bookmarkEnd w:id="40"/>
    <w:bookmarkStart w:id="41" w:name="additional-therapy---lung-metastasis"/>
    <w:p>
      <w:pPr>
        <w:pStyle w:val="Heading2"/>
      </w:pPr>
      <w:r>
        <w:t xml:space="preserve">33 Additional Therapy - Lung Metastasis</w:t>
      </w:r>
    </w:p>
    <w:p>
      <w:pPr>
        <w:pStyle w:val="FirstParagraph"/>
      </w:pPr>
      <w:r>
        <w:t xml:space="preserve">If there is a solitary spread of cancer to the lung:</w:t>
      </w:r>
    </w:p>
    <w:p>
      <w:pPr>
        <w:pStyle w:val="BodyText"/>
      </w:pPr>
      <w:r>
        <w:br/>
      </w:r>
      <w:r>
        <w:t xml:space="preserve">Stereotactic radiation can be performed</w:t>
      </w:r>
    </w:p>
    <w:p>
      <w:pPr>
        <w:pStyle w:val="BodyText"/>
      </w:pPr>
      <w:r>
        <w:t xml:space="preserve">Treatment will take 2-3 sessions</w:t>
      </w:r>
    </w:p>
    <w:p>
      <w:pPr>
        <w:pStyle w:val="BodyText"/>
      </w:pPr>
      <w:r>
        <w:t xml:space="preserve">If the lymph nodes contain enough cancer cells, they can be seen on CT scans or PET scans</w:t>
      </w:r>
    </w:p>
    <w:bookmarkEnd w:id="41"/>
    <w:bookmarkStart w:id="42" w:name="additional-therapy---bone-metastasis"/>
    <w:p>
      <w:pPr>
        <w:pStyle w:val="Heading2"/>
      </w:pPr>
      <w:r>
        <w:t xml:space="preserve">34 Additional Therapy - Bone Metastasis</w:t>
      </w:r>
    </w:p>
    <w:p>
      <w:pPr>
        <w:pStyle w:val="FirstParagraph"/>
      </w:pPr>
      <w:r>
        <w:br/>
      </w:r>
      <w:r>
        <w:t xml:space="preserve">Spread of cancer to bone can be painful</w:t>
      </w:r>
    </w:p>
    <w:p>
      <w:pPr>
        <w:pStyle w:val="BodyText"/>
      </w:pPr>
      <w:r>
        <w:br/>
      </w:r>
      <w:r>
        <w:t xml:space="preserve">Radiation therapy can be very effective</w:t>
      </w:r>
    </w:p>
    <w:p>
      <w:pPr>
        <w:pStyle w:val="BodyText"/>
      </w:pPr>
      <w:r>
        <w:t xml:space="preserve">Treatment can be one in 1 to 10 doses</w:t>
      </w:r>
    </w:p>
    <w:p>
      <w:pPr>
        <w:pStyle w:val="BodyText"/>
      </w:pPr>
      <w:r>
        <w:t xml:space="preserve">If the lymph nodes contain enough cancer cells, they can be seen on CT scans or PET scans</w:t>
      </w:r>
    </w:p>
    <w:bookmarkEnd w:id="42"/>
    <w:bookmarkStart w:id="43" w:name="additional-therapy---liver-metastasis"/>
    <w:p>
      <w:pPr>
        <w:pStyle w:val="Heading2"/>
      </w:pPr>
      <w:r>
        <w:t xml:space="preserve">35 Additional Therapy - Liver Metastasis</w:t>
      </w:r>
    </w:p>
    <w:p>
      <w:pPr>
        <w:pStyle w:val="FirstParagraph"/>
      </w:pPr>
      <w:r>
        <w:t xml:space="preserve">Several treatment options for spread of cancer to the liver that does not respond to chemotherapy:</w:t>
      </w:r>
    </w:p>
    <w:p>
      <w:pPr>
        <w:pStyle w:val="Compact"/>
        <w:numPr>
          <w:ilvl w:val="0"/>
          <w:numId w:val="1024"/>
        </w:numPr>
      </w:pPr>
      <w:r>
        <w:t xml:space="preserve">Stereotactic radiation</w:t>
      </w:r>
    </w:p>
    <w:p>
      <w:pPr>
        <w:pStyle w:val="Compact"/>
        <w:numPr>
          <w:ilvl w:val="0"/>
          <w:numId w:val="1024"/>
        </w:numPr>
      </w:pPr>
      <w:r>
        <w:t xml:space="preserve">Microwave ablation</w:t>
      </w:r>
    </w:p>
    <w:p>
      <w:pPr>
        <w:pStyle w:val="Compact"/>
        <w:numPr>
          <w:ilvl w:val="0"/>
          <w:numId w:val="1024"/>
        </w:numPr>
      </w:pPr>
      <w:r>
        <w:t xml:space="preserve">Radioactive beads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43"/>
    <w:bookmarkStart w:id="44" w:name="additional-therapy---carcinomatosis"/>
    <w:p>
      <w:pPr>
        <w:pStyle w:val="Heading2"/>
      </w:pPr>
      <w:r>
        <w:t xml:space="preserve">36 Additional Therapy - Carcinomatosis</w:t>
      </w:r>
    </w:p>
    <w:p>
      <w:pPr>
        <w:pStyle w:val="FirstParagraph"/>
      </w:pPr>
      <w:r>
        <w:t xml:space="preserve">Treatment for spread of cancer within the abdomen:</w:t>
      </w:r>
    </w:p>
    <w:p>
      <w:pPr>
        <w:pStyle w:val="Compact"/>
        <w:numPr>
          <w:ilvl w:val="0"/>
          <w:numId w:val="1025"/>
        </w:numPr>
      </w:pPr>
      <w:r>
        <w:t xml:space="preserve">Intraperitoneal chemo via catheter (Taxol)</w:t>
      </w:r>
    </w:p>
    <w:p>
      <w:pPr>
        <w:pStyle w:val="Compact"/>
        <w:numPr>
          <w:ilvl w:val="0"/>
          <w:numId w:val="1025"/>
        </w:numPr>
      </w:pPr>
      <w:r>
        <w:t xml:space="preserve">Heated intraperitoneal chemotherapy (HIPEC)</w:t>
      </w:r>
    </w:p>
    <w:p>
      <w:pPr>
        <w:pStyle w:val="Compact"/>
        <w:numPr>
          <w:ilvl w:val="0"/>
          <w:numId w:val="1025"/>
        </w:numPr>
      </w:pPr>
      <w:r>
        <w:t xml:space="preserve">Cytoreductive surgery (often in combination with HIPEC)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44"/>
    <w:bookmarkStart w:id="45" w:name="additional-therapy---surgery"/>
    <w:p>
      <w:pPr>
        <w:pStyle w:val="Heading2"/>
      </w:pPr>
      <w:r>
        <w:t xml:space="preserve">37 Additional Therapy - Surgery</w:t>
      </w:r>
    </w:p>
    <w:p>
      <w:pPr>
        <w:pStyle w:val="FirstParagraph"/>
      </w:pPr>
      <w:r>
        <w:t xml:space="preserve">Surgery can be performed in selected circumstances:</w:t>
      </w:r>
    </w:p>
    <w:p>
      <w:pPr>
        <w:numPr>
          <w:ilvl w:val="0"/>
          <w:numId w:val="1026"/>
        </w:numPr>
      </w:pPr>
      <w:r>
        <w:t xml:space="preserve">Perforation</w:t>
      </w:r>
    </w:p>
    <w:p>
      <w:pPr>
        <w:numPr>
          <w:ilvl w:val="0"/>
          <w:numId w:val="1026"/>
        </w:numPr>
      </w:pPr>
      <w:r>
        <w:t xml:space="preserve">Obstruction</w:t>
      </w:r>
    </w:p>
    <w:p>
      <w:pPr>
        <w:pStyle w:val="Compact"/>
        <w:numPr>
          <w:ilvl w:val="1"/>
          <w:numId w:val="1027"/>
        </w:numPr>
      </w:pPr>
      <w:r>
        <w:t xml:space="preserve">Removal of cancer and a portion of the stomach</w:t>
      </w:r>
    </w:p>
    <w:p>
      <w:pPr>
        <w:pStyle w:val="Compact"/>
        <w:numPr>
          <w:ilvl w:val="1"/>
          <w:numId w:val="1027"/>
        </w:numPr>
      </w:pPr>
      <w:r>
        <w:t xml:space="preserve">Bypass of the cancer</w:t>
      </w:r>
    </w:p>
    <w:p>
      <w:pPr>
        <w:numPr>
          <w:ilvl w:val="0"/>
          <w:numId w:val="1026"/>
        </w:numPr>
      </w:pPr>
      <w:r>
        <w:t xml:space="preserve">Residual disease in the stomach in patients responding to chemotherapy</w:t>
      </w:r>
    </w:p>
    <w:bookmarkEnd w:id="45"/>
    <w:bookmarkStart w:id="46" w:name="primary-care-practitioner-pcp"/>
    <w:p>
      <w:pPr>
        <w:pStyle w:val="Heading2"/>
      </w:pPr>
      <w:r>
        <w:t xml:space="preserve">38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46"/>
    <w:bookmarkStart w:id="47" w:name="my-atrium-patient-portal"/>
    <w:p>
      <w:pPr>
        <w:pStyle w:val="Heading2"/>
      </w:pPr>
      <w:r>
        <w:t xml:space="preserve">39 My Atrium Patient Portal</w:t>
      </w:r>
    </w:p>
    <w:p>
      <w:pPr>
        <w:pStyle w:val="Compact"/>
        <w:numPr>
          <w:ilvl w:val="0"/>
          <w:numId w:val="1028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28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28"/>
        </w:numPr>
      </w:pPr>
      <w:r>
        <w:t xml:space="preserve">Sign up at my.atriumhealth.org</w:t>
      </w:r>
    </w:p>
    <w:bookmarkEnd w:id="47"/>
    <w:bookmarkStart w:id="48" w:name="exercise"/>
    <w:p>
      <w:pPr>
        <w:pStyle w:val="Heading2"/>
      </w:pPr>
      <w:r>
        <w:t xml:space="preserve">40 Exercise</w:t>
      </w:r>
    </w:p>
    <w:p>
      <w:pPr>
        <w:pStyle w:val="Compact"/>
        <w:numPr>
          <w:ilvl w:val="0"/>
          <w:numId w:val="1029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29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30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30"/>
        </w:numPr>
      </w:pPr>
      <w:r>
        <w:t xml:space="preserve">Start slowly and build up</w:t>
      </w:r>
    </w:p>
    <w:p>
      <w:pPr>
        <w:pStyle w:val="Compact"/>
        <w:numPr>
          <w:ilvl w:val="1"/>
          <w:numId w:val="1030"/>
        </w:numPr>
      </w:pPr>
      <w:r>
        <w:t xml:space="preserve">Every day counts! (Aim for daily activity)</w:t>
      </w:r>
    </w:p>
    <w:bookmarkEnd w:id="48"/>
    <w:bookmarkStart w:id="49" w:name="smoking-cessation"/>
    <w:p>
      <w:pPr>
        <w:pStyle w:val="Heading2"/>
      </w:pPr>
      <w:r>
        <w:t xml:space="preserve">41 Smoking Cessation</w:t>
      </w:r>
    </w:p>
    <w:p>
      <w:pPr>
        <w:pStyle w:val="Compact"/>
        <w:numPr>
          <w:ilvl w:val="0"/>
          <w:numId w:val="1031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32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31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33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33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33"/>
        </w:numPr>
      </w:pPr>
      <w:r>
        <w:t xml:space="preserve">Smoking Cessation Counseling (Metro Charlotte)</w:t>
      </w:r>
    </w:p>
    <w:bookmarkEnd w:id="49"/>
    <w:bookmarkStart w:id="50" w:name="team-members---physicians"/>
    <w:p>
      <w:pPr>
        <w:pStyle w:val="Heading2"/>
      </w:pPr>
      <w:r>
        <w:t xml:space="preserve">42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</w:t>
      </w:r>
    </w:p>
    <w:p>
      <w:pPr>
        <w:pStyle w:val="Compact"/>
        <w:numPr>
          <w:ilvl w:val="0"/>
          <w:numId w:val="1034"/>
        </w:numPr>
      </w:pPr>
      <w:r>
        <w:t xml:space="preserve">Jonathan Salo MD</w:t>
      </w:r>
    </w:p>
    <w:bookmarkEnd w:id="50"/>
    <w:bookmarkStart w:id="51" w:name="team-members---support-staff"/>
    <w:p>
      <w:pPr>
        <w:pStyle w:val="Heading2"/>
      </w:pPr>
      <w:r>
        <w:t xml:space="preserve">43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35"/>
        </w:numPr>
      </w:pPr>
      <w:r>
        <w:t xml:space="preserve">Matthew Carpenter RN</w:t>
      </w:r>
    </w:p>
    <w:p>
      <w:pPr>
        <w:pStyle w:val="Compact"/>
        <w:numPr>
          <w:ilvl w:val="0"/>
          <w:numId w:val="1035"/>
        </w:numPr>
      </w:pPr>
      <w:r>
        <w:t xml:space="preserve">Brandon Galloway LPN</w:t>
      </w:r>
    </w:p>
    <w:p>
      <w:pPr>
        <w:pStyle w:val="FirstParagraph"/>
      </w:pPr>
      <w:r>
        <w:t xml:space="preserve">Navigators</w:t>
      </w:r>
    </w:p>
    <w:p>
      <w:pPr>
        <w:pStyle w:val="Compact"/>
        <w:numPr>
          <w:ilvl w:val="0"/>
          <w:numId w:val="1036"/>
        </w:numPr>
      </w:pPr>
      <w:r>
        <w:t xml:space="preserve">Laura Swift</w:t>
      </w:r>
    </w:p>
    <w:p>
      <w:pPr>
        <w:pStyle w:val="Compact"/>
        <w:numPr>
          <w:ilvl w:val="0"/>
          <w:numId w:val="1036"/>
        </w:numPr>
      </w:pPr>
      <w:r>
        <w:t xml:space="preserve">Lorna Espinal</w:t>
      </w:r>
    </w:p>
    <w:p>
      <w:pPr>
        <w:pStyle w:val="FirstParagraph"/>
      </w:pPr>
      <w:r>
        <w:t xml:space="preserve">Care Coordinator - Karen Julian-Martinez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Cancer of the Stomach</dc:title>
  <dc:creator/>
  <cp:keywords/>
  <dcterms:created xsi:type="dcterms:W3CDTF">2026-09-26T07:21:59Z</dcterms:created>
  <dcterms:modified xsi:type="dcterms:W3CDTF">2026-09-26T07:21:59Z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