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Stage IV Cancer of the Esophagus and GE Junction</w:t>
      </w:r>
    </w:p>
    <w:bookmarkStart w:id="9" w:name="anatomy"/>
    <w:p>
      <w:pPr>
        <w:pStyle w:val="Heading2"/>
      </w:pPr>
      <w:r>
        <w:t xml:space="preserve">1 Anatomy</w:t>
      </w:r>
    </w:p>
    <w:p>
      <w:pPr>
        <w:pStyle w:val="FirstParagraph"/>
      </w:pPr>
      <w:r>
        <w:t xml:space="preserve">Food moves from the throat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esophagus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stomach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small bowel (jejunum)</w:t>
      </w:r>
    </w:p>
    <w:p>
      <w:pPr>
        <w:pStyle w:val="BodyText"/>
      </w:pPr>
      <w:r>
        <w:t xml:space="preserve">We’ll start with reviewing some anatomy about how the body digests food.</w:t>
      </w:r>
    </w:p>
    <w:p>
      <w:pPr>
        <w:pStyle w:val="BodyText"/>
      </w:pPr>
      <w:r>
        <w:t xml:space="preserve">Food moves from the throat to the esophagus, and from there to the stomach.</w:t>
      </w:r>
    </w:p>
    <w:p>
      <w:pPr>
        <w:pStyle w:val="BodyText"/>
      </w:pPr>
      <w:r>
        <w:t xml:space="preserve">From the stomach, food moved through a valve called the pylorus into the small intestines</w:t>
      </w:r>
    </w:p>
    <w:bookmarkEnd w:id="9"/>
    <w:bookmarkStart w:id="10" w:name="esophageal-cancer-staging"/>
    <w:p>
      <w:pPr>
        <w:pStyle w:val="Heading2"/>
      </w:pPr>
      <w:r>
        <w:t xml:space="preserve">2 Esophageal Cancer Staging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</w:t>
      </w:r>
      <w:r>
        <w:t xml:space="preserve"> </w:t>
      </w:r>
      <w:r>
        <w:t xml:space="preserve">= Tumor - Depth of growth into the wall of the esophagus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</w:t>
      </w:r>
      <w:r>
        <w:t xml:space="preserve"> </w:t>
      </w:r>
      <w:r>
        <w:t xml:space="preserve">= Nodes - Spread to the lymph nodes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</w:t>
      </w:r>
      <w:r>
        <w:t xml:space="preserve"> </w:t>
      </w:r>
      <w:r>
        <w:t xml:space="preserve">= Metastasis - Spread to liver, lungs, or bone</w:t>
      </w:r>
    </w:p>
    <w:bookmarkEnd w:id="10"/>
    <w:bookmarkStart w:id="11" w:name="metastatic-cancers"/>
    <w:p>
      <w:pPr>
        <w:pStyle w:val="Heading2"/>
      </w:pPr>
      <w:r>
        <w:t xml:space="preserve">3 Metastatic Cancers</w:t>
      </w:r>
    </w:p>
    <w:p>
      <w:pPr>
        <w:pStyle w:val="FirstParagraph"/>
      </w:pPr>
      <w:r>
        <w:t xml:space="preserve">Metastatic cancers spread to other parts of the body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M0</w:t>
      </w:r>
      <w:r>
        <w:t xml:space="preserve"> </w:t>
      </w:r>
      <w:r>
        <w:t xml:space="preserve">cancers have not spread to other parts of the body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M1</w:t>
      </w:r>
      <w:r>
        <w:t xml:space="preserve"> </w:t>
      </w:r>
      <w:r>
        <w:t xml:space="preserve">cancers have spread lungs, liver, or bone</w:t>
      </w:r>
    </w:p>
    <w:p>
      <w:pPr>
        <w:pStyle w:val="FirstParagraph"/>
      </w:pPr>
      <w:r>
        <w:t xml:space="preserve">M1 cancers is also known as Stage 4</w:t>
      </w:r>
    </w:p>
    <w:bookmarkEnd w:id="11"/>
    <w:bookmarkStart w:id="12" w:name="treatment-plan"/>
    <w:p>
      <w:pPr>
        <w:pStyle w:val="Heading2"/>
      </w:pPr>
      <w:r>
        <w:t xml:space="preserve">4 Treatment Plan</w:t>
      </w:r>
    </w:p>
    <w:p>
      <w:pPr>
        <w:numPr>
          <w:ilvl w:val="0"/>
          <w:numId w:val="1003"/>
        </w:numPr>
      </w:pPr>
      <w:r>
        <w:t xml:space="preserve">Superficial (T1)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Endoscopic Therapy</w:t>
      </w:r>
    </w:p>
    <w:p>
      <w:pPr>
        <w:numPr>
          <w:ilvl w:val="0"/>
          <w:numId w:val="1003"/>
        </w:numPr>
      </w:pPr>
      <w:r>
        <w:t xml:space="preserve">Localized (T1b/T2)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Surgery</w:t>
      </w:r>
    </w:p>
    <w:p>
      <w:pPr>
        <w:numPr>
          <w:ilvl w:val="0"/>
          <w:numId w:val="1003"/>
        </w:numPr>
      </w:pPr>
      <w:r>
        <w:t xml:space="preserve">Locally-advanced (T3M0)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Chemo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Surgery</w:t>
      </w:r>
    </w:p>
    <w:p>
      <w:pPr>
        <w:numPr>
          <w:ilvl w:val="0"/>
          <w:numId w:val="1003"/>
        </w:numPr>
      </w:pPr>
      <w:r>
        <w:t xml:space="preserve">Metastatic (M1)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Systemic Therapy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Radiation</w:t>
      </w:r>
    </w:p>
    <w:p>
      <w:pPr>
        <w:pStyle w:val="FirstParagraph"/>
      </w:pPr>
      <w:r>
        <w:t xml:space="preserve">This table summarizes four different treatment categories:</w:t>
      </w:r>
    </w:p>
    <w:p>
      <w:pPr>
        <w:pStyle w:val="Compact"/>
        <w:numPr>
          <w:ilvl w:val="0"/>
          <w:numId w:val="1004"/>
        </w:numPr>
      </w:pPr>
      <w:r>
        <w:t xml:space="preserve">Superficial cancers are T1 and can be treated by endoscopic therapy without the need for surgery</w:t>
      </w:r>
    </w:p>
    <w:p>
      <w:pPr>
        <w:pStyle w:val="Compact"/>
        <w:numPr>
          <w:ilvl w:val="0"/>
          <w:numId w:val="1004"/>
        </w:numPr>
      </w:pPr>
      <w:r>
        <w:t xml:space="preserve">Localized cancers are T1b or T2 and are frequently treated by surgery alone without the need for chemotherapy or radiation</w:t>
      </w:r>
    </w:p>
    <w:p>
      <w:pPr>
        <w:pStyle w:val="Compact"/>
        <w:numPr>
          <w:ilvl w:val="0"/>
          <w:numId w:val="1004"/>
        </w:numPr>
      </w:pPr>
      <w:r>
        <w:t xml:space="preserve">Locally-advanced cancers are T3 or N1 and are usually treated with some combination of chemotherapy and radiation prior to surgery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Metastatic cancers are M1 and are treated primary by systemic therapy</w:t>
      </w:r>
    </w:p>
    <w:bookmarkEnd w:id="12"/>
    <w:bookmarkStart w:id="13" w:name="systemic-therapy"/>
    <w:p>
      <w:pPr>
        <w:pStyle w:val="Heading2"/>
      </w:pPr>
      <w:r>
        <w:t xml:space="preserve">5 Systemic Therapy</w:t>
      </w:r>
    </w:p>
    <w:p>
      <w:pPr>
        <w:pStyle w:val="FirstParagraph"/>
      </w:pPr>
      <w:r>
        <w:t xml:space="preserve">Systemic therapy is administered intravenously (or by mouth) and circulates to kill cancer cells anywhere in the body.</w:t>
      </w:r>
    </w:p>
    <w:p>
      <w:pPr>
        <w:pStyle w:val="Compact"/>
        <w:numPr>
          <w:ilvl w:val="0"/>
          <w:numId w:val="1005"/>
        </w:numPr>
      </w:pPr>
      <w:r>
        <w:t xml:space="preserve">Chemotherapy (FOLFOX)</w:t>
      </w:r>
    </w:p>
    <w:p>
      <w:pPr>
        <w:pStyle w:val="Compact"/>
        <w:numPr>
          <w:ilvl w:val="0"/>
          <w:numId w:val="1005"/>
        </w:numPr>
      </w:pPr>
      <w:r>
        <w:t xml:space="preserve">Immunotherapy (nivolumab, pembrolizumab)</w:t>
      </w:r>
    </w:p>
    <w:p>
      <w:pPr>
        <w:pStyle w:val="Compact"/>
        <w:numPr>
          <w:ilvl w:val="0"/>
          <w:numId w:val="1005"/>
        </w:numPr>
      </w:pPr>
      <w:r>
        <w:t xml:space="preserve">Hormone therapy (herceptin)</w:t>
      </w:r>
    </w:p>
    <w:bookmarkEnd w:id="13"/>
    <w:bookmarkStart w:id="14" w:name="goals-of-therapy"/>
    <w:p>
      <w:pPr>
        <w:pStyle w:val="Heading2"/>
      </w:pPr>
      <w:r>
        <w:t xml:space="preserve">6 Goals of Therapy</w:t>
      </w:r>
    </w:p>
    <w:p>
      <w:pPr>
        <w:numPr>
          <w:ilvl w:val="0"/>
          <w:numId w:val="1006"/>
        </w:numPr>
      </w:pPr>
      <w:r>
        <w:t xml:space="preserve">Symptom control</w:t>
      </w:r>
    </w:p>
    <w:p>
      <w:pPr>
        <w:numPr>
          <w:ilvl w:val="0"/>
          <w:numId w:val="1006"/>
        </w:numPr>
      </w:pPr>
      <w:r>
        <w:t xml:space="preserve">Prolong life</w:t>
      </w:r>
    </w:p>
    <w:p>
      <w:pPr>
        <w:numPr>
          <w:ilvl w:val="0"/>
          <w:numId w:val="1006"/>
        </w:numPr>
      </w:pPr>
      <w:r>
        <w:t xml:space="preserve">Minimize symptoms due to treatment</w:t>
      </w:r>
    </w:p>
    <w:bookmarkEnd w:id="14"/>
    <w:bookmarkStart w:id="15" w:name="systemic-therapy-1"/>
    <w:p>
      <w:pPr>
        <w:pStyle w:val="Heading2"/>
      </w:pPr>
      <w:r>
        <w:t xml:space="preserve">7 Systemic Therapy</w:t>
      </w:r>
    </w:p>
    <w:p>
      <w:pPr>
        <w:pStyle w:val="FirstParagraph"/>
      </w:pPr>
      <w:r>
        <w:t xml:space="preserve">By shrinking tumor and decreasing cancer burden</w:t>
      </w:r>
    </w:p>
    <w:p>
      <w:pPr>
        <w:pStyle w:val="Compact"/>
        <w:numPr>
          <w:ilvl w:val="0"/>
          <w:numId w:val="1007"/>
        </w:numPr>
      </w:pPr>
      <w:r>
        <w:t xml:space="preserve">Can improve symptoms</w:t>
      </w:r>
    </w:p>
    <w:p>
      <w:pPr>
        <w:pStyle w:val="Compact"/>
        <w:numPr>
          <w:ilvl w:val="0"/>
          <w:numId w:val="1007"/>
        </w:numPr>
      </w:pPr>
      <w:r>
        <w:t xml:space="preserve">Can prolong life</w:t>
      </w:r>
    </w:p>
    <w:p>
      <w:pPr>
        <w:pStyle w:val="FirstParagraph"/>
      </w:pPr>
      <w:r>
        <w:t xml:space="preserve">Goals:</w:t>
      </w:r>
    </w:p>
    <w:p>
      <w:pPr>
        <w:pStyle w:val="Compact"/>
        <w:numPr>
          <w:ilvl w:val="0"/>
          <w:numId w:val="1008"/>
        </w:numPr>
      </w:pPr>
      <w:r>
        <w:t xml:space="preserve">Maximize cancer shrinkage</w:t>
      </w:r>
    </w:p>
    <w:p>
      <w:pPr>
        <w:pStyle w:val="Compact"/>
        <w:numPr>
          <w:ilvl w:val="0"/>
          <w:numId w:val="1008"/>
        </w:numPr>
      </w:pPr>
      <w:r>
        <w:t xml:space="preserve">Minimize side-effects due to therapy</w:t>
      </w:r>
    </w:p>
    <w:bookmarkEnd w:id="15"/>
    <w:bookmarkStart w:id="16" w:name="chemotherapy-administration"/>
    <w:p>
      <w:pPr>
        <w:pStyle w:val="Heading2"/>
      </w:pPr>
      <w:r>
        <w:t xml:space="preserve">8 Chemotherapy Administration</w:t>
      </w:r>
    </w:p>
    <w:p>
      <w:pPr>
        <w:pStyle w:val="FirstParagraph"/>
      </w:pPr>
      <w:r>
        <w:t xml:space="preserve">Most chemotherapy is administered by vein.</w:t>
      </w:r>
    </w:p>
    <w:p>
      <w:pPr>
        <w:pStyle w:val="BodyText"/>
      </w:pPr>
      <w:r>
        <w:t xml:space="preserve">Several options exist to administer chemotherapy:</w:t>
      </w:r>
    </w:p>
    <w:p>
      <w:pPr>
        <w:pStyle w:val="Compact"/>
        <w:numPr>
          <w:ilvl w:val="0"/>
          <w:numId w:val="1009"/>
        </w:numPr>
      </w:pPr>
      <w:r>
        <w:t xml:space="preserve">Intravenous catheter in peripheral veins</w:t>
      </w:r>
    </w:p>
    <w:p>
      <w:pPr>
        <w:pStyle w:val="Compact"/>
        <w:numPr>
          <w:ilvl w:val="0"/>
          <w:numId w:val="1009"/>
        </w:numPr>
      </w:pPr>
      <w:r>
        <w:t xml:space="preserve">Peripheral Intravenous Central Catheter (PICC)</w:t>
      </w:r>
    </w:p>
    <w:p>
      <w:pPr>
        <w:pStyle w:val="Compact"/>
        <w:numPr>
          <w:ilvl w:val="0"/>
          <w:numId w:val="1009"/>
        </w:numPr>
      </w:pPr>
      <w:r>
        <w:t xml:space="preserve">Central Venous port</w:t>
      </w:r>
    </w:p>
    <w:bookmarkEnd w:id="16"/>
    <w:bookmarkStart w:id="17" w:name="X24de4000c031f200c5dfe01452aa364022c5d0d"/>
    <w:p>
      <w:pPr>
        <w:pStyle w:val="Heading2"/>
      </w:pPr>
      <w:r>
        <w:t xml:space="preserve">9 Intravenous Catheter in Peripheral Vein (</w:t>
      </w:r>
      <w:r>
        <w:t xml:space="preserve">“IV”</w:t>
      </w:r>
      <w:r>
        <w:t xml:space="preserve">)</w:t>
      </w:r>
    </w:p>
    <w:p>
      <w:pPr>
        <w:pStyle w:val="Compact"/>
        <w:numPr>
          <w:ilvl w:val="0"/>
          <w:numId w:val="1010"/>
        </w:numPr>
      </w:pPr>
      <w:r>
        <w:t xml:space="preserve">IV catheter placed in vein of hand or arm</w:t>
      </w:r>
    </w:p>
    <w:p>
      <w:pPr>
        <w:pStyle w:val="Compact"/>
        <w:numPr>
          <w:ilvl w:val="0"/>
          <w:numId w:val="1010"/>
        </w:numPr>
      </w:pPr>
      <w:r>
        <w:t xml:space="preserve">Allows administration of chemo and fluids</w:t>
      </w:r>
    </w:p>
    <w:p>
      <w:pPr>
        <w:pStyle w:val="Compact"/>
        <w:numPr>
          <w:ilvl w:val="0"/>
          <w:numId w:val="1010"/>
        </w:numPr>
      </w:pPr>
      <w:r>
        <w:t xml:space="preserve">Placed for each dose</w:t>
      </w:r>
    </w:p>
    <w:p>
      <w:pPr>
        <w:pStyle w:val="Compact"/>
        <w:numPr>
          <w:ilvl w:val="0"/>
          <w:numId w:val="1010"/>
        </w:numPr>
      </w:pPr>
      <w:r>
        <w:t xml:space="preserve">Removed that day</w:t>
      </w:r>
    </w:p>
    <w:p>
      <w:pPr>
        <w:pStyle w:val="Compact"/>
        <w:numPr>
          <w:ilvl w:val="0"/>
          <w:numId w:val="1010"/>
        </w:numPr>
      </w:pPr>
      <w:r>
        <w:t xml:space="preserve">Not suitable for FLOT chemo</w:t>
      </w:r>
    </w:p>
    <w:p>
      <w:pPr>
        <w:pStyle w:val="FirstParagraph"/>
      </w:pPr>
      <w:r>
        <w:t xml:space="preserve">A peripheral IV catheter involves placing a small tube into the veins, which is then used to give fluids or chemotherapy</w:t>
      </w:r>
    </w:p>
    <w:p>
      <w:pPr>
        <w:pStyle w:val="BodyText"/>
      </w:pPr>
      <w:r>
        <w:t xml:space="preserve">A new catheter is placed for each dose of chemotherapy</w:t>
      </w:r>
    </w:p>
    <w:p>
      <w:pPr>
        <w:pStyle w:val="BodyText"/>
      </w:pPr>
      <w:r>
        <w:t xml:space="preserve">FLOT chemotherapy requires a home infusion pump, got which a peripheral IV won’t work</w:t>
      </w:r>
    </w:p>
    <w:bookmarkEnd w:id="17"/>
    <w:bookmarkStart w:id="18" w:name="central-venous-port"/>
    <w:p>
      <w:pPr>
        <w:pStyle w:val="Heading2"/>
      </w:pPr>
      <w:r>
        <w:t xml:space="preserve">10 Central Venous Port</w:t>
      </w:r>
    </w:p>
    <w:p>
      <w:pPr>
        <w:pStyle w:val="Compact"/>
        <w:numPr>
          <w:ilvl w:val="0"/>
          <w:numId w:val="1011"/>
        </w:numPr>
      </w:pPr>
      <w:r>
        <w:t xml:space="preserve">Implantable device makes chemo easier</w:t>
      </w:r>
    </w:p>
    <w:p>
      <w:pPr>
        <w:pStyle w:val="Compact"/>
        <w:numPr>
          <w:ilvl w:val="0"/>
          <w:numId w:val="1011"/>
        </w:numPr>
      </w:pPr>
      <w:r>
        <w:t xml:space="preserve">May shower in 24 hrs</w:t>
      </w:r>
    </w:p>
    <w:p>
      <w:pPr>
        <w:pStyle w:val="Compact"/>
        <w:numPr>
          <w:ilvl w:val="0"/>
          <w:numId w:val="1011"/>
        </w:numPr>
      </w:pPr>
      <w:r>
        <w:t xml:space="preserve">No special care at home</w:t>
      </w:r>
    </w:p>
    <w:p>
      <w:pPr>
        <w:pStyle w:val="Compact"/>
        <w:numPr>
          <w:ilvl w:val="0"/>
          <w:numId w:val="1011"/>
        </w:numPr>
      </w:pPr>
      <w:r>
        <w:t xml:space="preserve">OK for FLOT chemo</w:t>
      </w:r>
    </w:p>
    <w:p>
      <w:pPr>
        <w:pStyle w:val="Compact"/>
        <w:numPr>
          <w:ilvl w:val="0"/>
          <w:numId w:val="1011"/>
        </w:numPr>
      </w:pPr>
      <w:r>
        <w:t xml:space="preserve">Allows for blood draws</w:t>
      </w:r>
    </w:p>
    <w:p>
      <w:pPr>
        <w:pStyle w:val="FirstParagraph"/>
      </w:pPr>
      <w:r>
        <w:t xml:space="preserve">A central venous port is an implantable device that makes the administration of chemotherapy easier.</w:t>
      </w:r>
    </w:p>
    <w:p>
      <w:pPr>
        <w:pStyle w:val="BodyText"/>
      </w:pPr>
      <w:r>
        <w:t xml:space="preserve">Once it is in place, it requires no special care at home</w:t>
      </w:r>
    </w:p>
    <w:p>
      <w:pPr>
        <w:pStyle w:val="BodyText"/>
      </w:pPr>
      <w:r>
        <w:t xml:space="preserve">With a port, you can shower, bathe, and swim without restriction</w:t>
      </w:r>
    </w:p>
    <w:p>
      <w:pPr>
        <w:pStyle w:val="BodyText"/>
      </w:pPr>
      <w:r>
        <w:t xml:space="preserve">A central venous port is suitable for FLOT chemotherapy</w:t>
      </w:r>
    </w:p>
    <w:p>
      <w:pPr>
        <w:pStyle w:val="BodyText"/>
      </w:pPr>
      <w:r>
        <w:t xml:space="preserve">A port can be used for blood draws for blood tests as well.</w:t>
      </w:r>
    </w:p>
    <w:bookmarkEnd w:id="18"/>
    <w:bookmarkStart w:id="19" w:name="central-venous-port-1"/>
    <w:p>
      <w:pPr>
        <w:pStyle w:val="Heading2"/>
      </w:pPr>
      <w:r>
        <w:t xml:space="preserve">11 Central Venous Port</w:t>
      </w:r>
    </w:p>
    <w:p>
      <w:pPr>
        <w:pStyle w:val="Compact"/>
        <w:numPr>
          <w:ilvl w:val="0"/>
          <w:numId w:val="1012"/>
        </w:numPr>
      </w:pPr>
      <w:r>
        <w:t xml:space="preserve">Implanted under skin</w:t>
      </w:r>
    </w:p>
    <w:p>
      <w:pPr>
        <w:pStyle w:val="Compact"/>
        <w:numPr>
          <w:ilvl w:val="0"/>
          <w:numId w:val="1012"/>
        </w:numPr>
      </w:pPr>
      <w:r>
        <w:t xml:space="preserve">Neck incision (1/4”)</w:t>
      </w:r>
    </w:p>
    <w:p>
      <w:pPr>
        <w:pStyle w:val="Compact"/>
        <w:numPr>
          <w:ilvl w:val="0"/>
          <w:numId w:val="1012"/>
        </w:numPr>
      </w:pPr>
      <w:r>
        <w:t xml:space="preserve">Incision below the collarbone</w:t>
      </w:r>
    </w:p>
    <w:p>
      <w:pPr>
        <w:pStyle w:val="Compact"/>
        <w:numPr>
          <w:ilvl w:val="0"/>
          <w:numId w:val="1012"/>
        </w:numPr>
      </w:pPr>
      <w:r>
        <w:t xml:space="preserve">Sutures dissolve</w:t>
      </w:r>
    </w:p>
    <w:p>
      <w:pPr>
        <w:pStyle w:val="Compact"/>
        <w:numPr>
          <w:ilvl w:val="0"/>
          <w:numId w:val="1012"/>
        </w:numPr>
      </w:pPr>
      <w:r>
        <w:t xml:space="preserve">“Superglue”</w:t>
      </w:r>
      <w:r>
        <w:t xml:space="preserve"> </w:t>
      </w:r>
      <w:r>
        <w:t xml:space="preserve">on incisions</w:t>
      </w:r>
    </w:p>
    <w:p>
      <w:pPr>
        <w:pStyle w:val="FirstParagraph"/>
      </w:pPr>
      <w:r>
        <w:t xml:space="preserve">A port is placed underneath the skin and usually below the right collarbone.</w:t>
      </w:r>
    </w:p>
    <w:p>
      <w:pPr>
        <w:pStyle w:val="BodyText"/>
      </w:pPr>
      <w:r>
        <w:t xml:space="preserve">Two incisions are made for placement: a quarter-inch incision over the neck, and a one-inch incision below the collarbone.</w:t>
      </w:r>
    </w:p>
    <w:p>
      <w:pPr>
        <w:pStyle w:val="BodyText"/>
      </w:pPr>
      <w:r>
        <w:t xml:space="preserve">Sutures are under the skin and dissolve on their own</w:t>
      </w:r>
    </w:p>
    <w:p>
      <w:pPr>
        <w:pStyle w:val="BodyText"/>
      </w:pPr>
      <w:r>
        <w:t xml:space="preserve">Surgical</w:t>
      </w:r>
      <w:r>
        <w:t xml:space="preserve"> </w:t>
      </w:r>
      <w:r>
        <w:t xml:space="preserve">“Super Glue”</w:t>
      </w:r>
      <w:r>
        <w:t xml:space="preserve"> </w:t>
      </w:r>
      <w:r>
        <w:t xml:space="preserve">covers the incisions and flakes off after a week or so</w:t>
      </w:r>
    </w:p>
    <w:bookmarkEnd w:id="19"/>
    <w:bookmarkStart w:id="20" w:name="central-venous-port-2"/>
    <w:p>
      <w:pPr>
        <w:pStyle w:val="Heading2"/>
      </w:pPr>
      <w:r>
        <w:t xml:space="preserve">12 Central Venous Port</w:t>
      </w:r>
    </w:p>
    <w:p>
      <w:pPr>
        <w:pStyle w:val="FirstParagraph"/>
      </w:pPr>
      <w:r>
        <w:t xml:space="preserve">When it is time for chemotherapy, a needle is inserted through the skin into the port</w:t>
      </w:r>
    </w:p>
    <w:p>
      <w:pPr>
        <w:pStyle w:val="BodyText"/>
      </w:pPr>
      <w:r>
        <w:t xml:space="preserve">When it comes time for chemotherapy, the nurses can easily access the port with a needle that goes through the skin into the port, rather than placing an intravenous needle in a vein. The drugs can then be administered directly into the bloodstream. If blood needs to be drawn for tests, this can also be done through the port.</w:t>
      </w:r>
    </w:p>
    <w:bookmarkEnd w:id="20"/>
    <w:bookmarkStart w:id="21" w:name="radiation-therapy"/>
    <w:p>
      <w:pPr>
        <w:pStyle w:val="Heading2"/>
      </w:pPr>
      <w:r>
        <w:t xml:space="preserve">13 Radiation Therapy</w:t>
      </w:r>
    </w:p>
    <w:p>
      <w:pPr>
        <w:pStyle w:val="FirstParagraph"/>
      </w:pPr>
      <w:r>
        <w:t xml:space="preserve">Radiation uses high-energy x-rays to kill cancer cells</w:t>
      </w:r>
    </w:p>
    <w:p>
      <w:pPr>
        <w:numPr>
          <w:ilvl w:val="0"/>
          <w:numId w:val="1013"/>
        </w:numPr>
      </w:pPr>
      <w:r>
        <w:t xml:space="preserve">Bone metastasis: Can relieve pain</w:t>
      </w:r>
    </w:p>
    <w:p>
      <w:pPr>
        <w:numPr>
          <w:ilvl w:val="0"/>
          <w:numId w:val="1013"/>
        </w:numPr>
      </w:pPr>
      <w:r>
        <w:t xml:space="preserve">Esophagus: Can shrink tumor and improve eating</w:t>
      </w:r>
    </w:p>
    <w:bookmarkEnd w:id="21"/>
    <w:bookmarkStart w:id="22" w:name="endoluminal-stent"/>
    <w:p>
      <w:pPr>
        <w:pStyle w:val="Heading2"/>
      </w:pPr>
      <w:r>
        <w:t xml:space="preserve">14 Endoluminal Stent</w:t>
      </w:r>
    </w:p>
    <w:p>
      <w:pPr>
        <w:pStyle w:val="FirstParagraph"/>
      </w:pPr>
      <w:r>
        <w:t xml:space="preserve">An endoluminal stent can be placed inside an esophageal cancer to improve eating</w:t>
      </w:r>
    </w:p>
    <w:bookmarkEnd w:id="22"/>
    <w:bookmarkStart w:id="23" w:name="endoluminal-stent-1"/>
    <w:p>
      <w:pPr>
        <w:pStyle w:val="Heading2"/>
      </w:pPr>
      <w:r>
        <w:t xml:space="preserve">15 Endoluminal Stent</w:t>
      </w:r>
    </w:p>
    <w:p>
      <w:pPr>
        <w:pStyle w:val="FirstParagraph"/>
      </w:pPr>
      <w:r>
        <w:t xml:space="preserve">An endoluminal stent can be placed inside an esophageal cancer to improve eating</w:t>
      </w:r>
    </w:p>
    <w:bookmarkEnd w:id="23"/>
    <w:bookmarkStart w:id="24" w:name="endoluminal-stents"/>
    <w:p>
      <w:pPr>
        <w:pStyle w:val="Heading2"/>
      </w:pPr>
      <w:r>
        <w:t xml:space="preserve">16 Endoluminal Stents</w:t>
      </w:r>
    </w:p>
    <w:p>
      <w:pPr>
        <w:pStyle w:val="FirstParagraph"/>
      </w:pPr>
      <w:r>
        <w:t xml:space="preserve">Advantages:</w:t>
      </w:r>
    </w:p>
    <w:p>
      <w:pPr>
        <w:pStyle w:val="Compact"/>
        <w:numPr>
          <w:ilvl w:val="0"/>
          <w:numId w:val="1014"/>
        </w:numPr>
      </w:pPr>
      <w:r>
        <w:t xml:space="preserve">Outpatient endoscopic procedure (no surgery)</w:t>
      </w:r>
    </w:p>
    <w:p>
      <w:pPr>
        <w:pStyle w:val="Compact"/>
        <w:numPr>
          <w:ilvl w:val="0"/>
          <w:numId w:val="1014"/>
        </w:numPr>
      </w:pPr>
      <w:r>
        <w:t xml:space="preserve">Can improve swallowing</w:t>
      </w:r>
    </w:p>
    <w:p>
      <w:pPr>
        <w:pStyle w:val="FirstParagraph"/>
      </w:pPr>
      <w:r>
        <w:t xml:space="preserve">Disadvantages:</w:t>
      </w:r>
    </w:p>
    <w:p>
      <w:pPr>
        <w:pStyle w:val="Compact"/>
        <w:numPr>
          <w:ilvl w:val="0"/>
          <w:numId w:val="1015"/>
        </w:numPr>
      </w:pPr>
      <w:r>
        <w:t xml:space="preserve">Discomfort and reflux</w:t>
      </w:r>
    </w:p>
    <w:p>
      <w:pPr>
        <w:pStyle w:val="Compact"/>
        <w:numPr>
          <w:ilvl w:val="0"/>
          <w:numId w:val="1015"/>
        </w:numPr>
      </w:pPr>
      <w:r>
        <w:t xml:space="preserve">Can make surgery to remove esophagus more complicated</w:t>
      </w:r>
    </w:p>
    <w:bookmarkEnd w:id="24"/>
    <w:bookmarkStart w:id="25" w:name="radiation-therapy---esophagus"/>
    <w:p>
      <w:pPr>
        <w:pStyle w:val="Heading2"/>
      </w:pPr>
      <w:r>
        <w:t xml:space="preserve">17 Radiation Therapy - Esophagus</w:t>
      </w:r>
    </w:p>
    <w:p>
      <w:pPr>
        <w:pStyle w:val="FirstParagraph"/>
      </w:pPr>
      <w:r>
        <w:t xml:space="preserve">Radiation therapy to the esophagus can improve swallowing. There are two approaches:</w:t>
      </w:r>
    </w:p>
    <w:p>
      <w:pPr>
        <w:pStyle w:val="BodyText"/>
      </w:pPr>
      <w:r>
        <w:rPr>
          <w:b/>
          <w:bCs/>
        </w:rPr>
        <w:t xml:space="preserve">Short Course</w:t>
      </w:r>
    </w:p>
    <w:p>
      <w:pPr>
        <w:pStyle w:val="Compact"/>
        <w:numPr>
          <w:ilvl w:val="0"/>
          <w:numId w:val="1016"/>
        </w:numPr>
      </w:pPr>
      <w:r>
        <w:t xml:space="preserve">10 treatments over 2 weeks</w:t>
      </w:r>
    </w:p>
    <w:p>
      <w:pPr>
        <w:pStyle w:val="FirstParagraph"/>
      </w:pPr>
      <w:r>
        <w:rPr>
          <w:b/>
          <w:bCs/>
        </w:rPr>
        <w:t xml:space="preserve">Conventional Dosing</w:t>
      </w:r>
    </w:p>
    <w:p>
      <w:pPr>
        <w:pStyle w:val="Compact"/>
        <w:numPr>
          <w:ilvl w:val="0"/>
          <w:numId w:val="1017"/>
        </w:numPr>
      </w:pPr>
      <w:r>
        <w:t xml:space="preserve">25-30 treatment over 5-6 weeks</w:t>
      </w:r>
    </w:p>
    <w:p>
      <w:pPr>
        <w:pStyle w:val="Compact"/>
        <w:numPr>
          <w:ilvl w:val="0"/>
          <w:numId w:val="1017"/>
        </w:numPr>
      </w:pPr>
      <w:r>
        <w:t xml:space="preserve">Usually combined with low-dose chemo</w:t>
      </w:r>
    </w:p>
    <w:bookmarkEnd w:id="25"/>
    <w:bookmarkStart w:id="26" w:name="radiation-therapy---bone"/>
    <w:p>
      <w:pPr>
        <w:pStyle w:val="Heading2"/>
      </w:pPr>
      <w:r>
        <w:t xml:space="preserve">18 Radiation Therapy - Bone</w:t>
      </w:r>
    </w:p>
    <w:p>
      <w:pPr>
        <w:pStyle w:val="FirstParagraph"/>
      </w:pPr>
      <w:r>
        <w:t xml:space="preserve">For patients with metastasis to bone causing pain</w:t>
      </w:r>
    </w:p>
    <w:p>
      <w:pPr>
        <w:pStyle w:val="Compact"/>
        <w:numPr>
          <w:ilvl w:val="0"/>
          <w:numId w:val="1018"/>
        </w:numPr>
      </w:pPr>
      <w:r>
        <w:t xml:space="preserve">Radiation can provide pain relief</w:t>
      </w:r>
    </w:p>
    <w:p>
      <w:pPr>
        <w:pStyle w:val="Compact"/>
        <w:numPr>
          <w:ilvl w:val="0"/>
          <w:numId w:val="1018"/>
        </w:numPr>
      </w:pPr>
      <w:r>
        <w:t xml:space="preserve">Typically 10 daily treatments over two weeks</w:t>
      </w:r>
    </w:p>
    <w:bookmarkEnd w:id="26"/>
    <w:bookmarkStart w:id="27" w:name="primary-care-practitioner-pcp"/>
    <w:p>
      <w:pPr>
        <w:pStyle w:val="Heading2"/>
      </w:pPr>
      <w:r>
        <w:t xml:space="preserve">19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27"/>
    <w:bookmarkStart w:id="28" w:name="my-atrium-patient-portal"/>
    <w:p>
      <w:pPr>
        <w:pStyle w:val="Heading2"/>
      </w:pPr>
      <w:r>
        <w:t xml:space="preserve">20 My Atrium Patient Portal</w:t>
      </w:r>
    </w:p>
    <w:p>
      <w:pPr>
        <w:pStyle w:val="Compact"/>
        <w:numPr>
          <w:ilvl w:val="0"/>
          <w:numId w:val="1019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19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19"/>
        </w:numPr>
      </w:pPr>
      <w:r>
        <w:t xml:space="preserve">Sign up at my.atriumhealth.org</w:t>
      </w:r>
    </w:p>
    <w:bookmarkEnd w:id="28"/>
    <w:bookmarkStart w:id="29" w:name="exercise"/>
    <w:p>
      <w:pPr>
        <w:pStyle w:val="Heading2"/>
      </w:pPr>
      <w:r>
        <w:t xml:space="preserve">21 Exercise</w:t>
      </w:r>
    </w:p>
    <w:p>
      <w:pPr>
        <w:pStyle w:val="Compact"/>
        <w:numPr>
          <w:ilvl w:val="0"/>
          <w:numId w:val="1020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20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21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21"/>
        </w:numPr>
      </w:pPr>
      <w:r>
        <w:t xml:space="preserve">Start slowly and build up</w:t>
      </w:r>
    </w:p>
    <w:p>
      <w:pPr>
        <w:pStyle w:val="Compact"/>
        <w:numPr>
          <w:ilvl w:val="1"/>
          <w:numId w:val="1021"/>
        </w:numPr>
      </w:pPr>
      <w:r>
        <w:t xml:space="preserve">Every day counts! (Aim for daily activity)</w:t>
      </w:r>
    </w:p>
    <w:bookmarkEnd w:id="29"/>
    <w:bookmarkStart w:id="30" w:name="smoking-cessation"/>
    <w:p>
      <w:pPr>
        <w:pStyle w:val="Heading2"/>
      </w:pPr>
      <w:r>
        <w:t xml:space="preserve">22 Smoking Cessation</w:t>
      </w:r>
    </w:p>
    <w:p>
      <w:pPr>
        <w:pStyle w:val="Compact"/>
        <w:numPr>
          <w:ilvl w:val="0"/>
          <w:numId w:val="1022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23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22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24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24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24"/>
        </w:numPr>
      </w:pPr>
      <w:r>
        <w:t xml:space="preserve">Smoking Cessation Counseling (Metro Charlotte)</w:t>
      </w:r>
    </w:p>
    <w:bookmarkEnd w:id="30"/>
    <w:bookmarkStart w:id="31" w:name="hospice"/>
    <w:p>
      <w:pPr>
        <w:pStyle w:val="Heading2"/>
      </w:pPr>
      <w:r>
        <w:t xml:space="preserve">23 Hospice</w:t>
      </w:r>
    </w:p>
    <w:p>
      <w:pPr>
        <w:pStyle w:val="FirstParagraph"/>
      </w:pPr>
      <w:r>
        <w:t xml:space="preserve">Hospice provides end-of-life care for patients whose priority is treatment of symptoms rather than systemic therapy of the cancer.</w:t>
      </w:r>
    </w:p>
    <w:p>
      <w:pPr>
        <w:pStyle w:val="Compact"/>
        <w:numPr>
          <w:ilvl w:val="0"/>
          <w:numId w:val="1025"/>
        </w:numPr>
      </w:pPr>
      <w:r>
        <w:t xml:space="preserve">Usually provided in the home</w:t>
      </w:r>
    </w:p>
    <w:p>
      <w:pPr>
        <w:pStyle w:val="Compact"/>
        <w:numPr>
          <w:ilvl w:val="0"/>
          <w:numId w:val="1025"/>
        </w:numPr>
      </w:pPr>
      <w:r>
        <w:t xml:space="preserve">Residential hospice is available as an alternative</w:t>
      </w:r>
    </w:p>
    <w:p>
      <w:pPr>
        <w:pStyle w:val="Compact"/>
        <w:numPr>
          <w:ilvl w:val="0"/>
          <w:numId w:val="1025"/>
        </w:numPr>
      </w:pPr>
      <w:r>
        <w:t xml:space="preserve">Hospice team manages symptoms including pain managemnt</w:t>
      </w:r>
    </w:p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Stage IV Cancer of the Esophagus and GE Junction</dc:title>
  <dc:creator/>
  <cp:keywords/>
  <dcterms:created xsi:type="dcterms:W3CDTF">2026-07-31T07:46:15Z</dcterms:created>
  <dcterms:modified xsi:type="dcterms:W3CDTF">2026-07-31T07:46:15Z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2</vt:lpwstr>
  </property>
  <property fmtid="{D5CDD505-2E9C-101B-9397-08002B2CF9AE}" pid="10" name="toc-title">
    <vt:lpwstr>Table of contents</vt:lpwstr>
  </property>
</Properties>
</file>