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genetic-testin"/>
    <w:p>
      <w:pPr>
        <w:pStyle w:val="Heading2"/>
      </w:pPr>
      <w:r>
        <w:t xml:space="preserve">2 Genetic Testin</w:t>
      </w:r>
    </w:p>
    <w:p>
      <w:pPr>
        <w:pStyle w:val="FirstParagraph"/>
      </w:pPr>
      <w:r>
        <w:t xml:space="preserve">Patients with stomach adenocarcinoma OR those with strong family history of stomach cancer (or other cancers) should consider genetic counseling to determine whether or not testing would be helpful.</w:t>
      </w:r>
      <w:r>
        <w:t xml:space="preserve"> </w:t>
      </w:r>
      <w:r>
        <w:t xml:space="preserve">In some families, a gene can be passed on which causes and increased susceptibility to stomach cancer</w:t>
      </w:r>
    </w:p>
    <w:bookmarkEnd w:id="21"/>
    <w:bookmarkStart w:id="22" w:name="hereditary-diffuse-gastric-cancer"/>
    <w:p>
      <w:pPr>
        <w:pStyle w:val="Heading2"/>
      </w:pPr>
      <w:r>
        <w:t xml:space="preserve">3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2"/>
    <w:bookmarkStart w:id="23" w:name="hereditry-diffuse-gastric-cancer"/>
    <w:p>
      <w:pPr>
        <w:pStyle w:val="Heading2"/>
      </w:pPr>
      <w:r>
        <w:t xml:space="preserve">4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3"/>
    <w:bookmarkStart w:id="24" w:name="cdh1"/>
    <w:p>
      <w:pPr>
        <w:pStyle w:val="Heading2"/>
      </w:pPr>
      <w:r>
        <w:t xml:space="preserve">5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24"/>
    <w:bookmarkStart w:id="25" w:name="hdgc"/>
    <w:p>
      <w:pPr>
        <w:pStyle w:val="Heading2"/>
      </w:pPr>
      <w:r>
        <w:t xml:space="preserve">6 HDGC</w:t>
      </w:r>
    </w:p>
    <w:p>
      <w:pPr>
        <w:pStyle w:val="FirstParagraph"/>
      </w:pPr>
      <w:r>
        <w:t xml:space="preserve">Prophylactic (preventive) gastrectomy is recommended for CDH1 carriers between ages 18-40</w:t>
      </w:r>
      <w:r>
        <w:t xml:space="preserve"> </w:t>
      </w:r>
      <w:r>
        <w:t xml:space="preserve">CDH1 carriers who undergo prophylactic gastrectomy rarely have cancer spread to lymph nodes</w:t>
      </w:r>
      <w:r>
        <w:t xml:space="preserve"> </w:t>
      </w:r>
      <w:r>
        <w:t xml:space="preserve">Prophylactic surgery requires total gastrectomy (removing all of stomach)</w:t>
      </w:r>
    </w:p>
    <w:bookmarkEnd w:id="25"/>
    <w:bookmarkStart w:id="26" w:name="ch1-and-family-history"/>
    <w:p>
      <w:pPr>
        <w:pStyle w:val="Heading2"/>
      </w:pPr>
      <w:r>
        <w:t xml:space="preserve">7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26"/>
    <w:bookmarkStart w:id="27" w:name="treatment-options"/>
    <w:p>
      <w:pPr>
        <w:pStyle w:val="Heading2"/>
      </w:pPr>
      <w:r>
        <w:t xml:space="preserve">8 Treatment Options</w:t>
      </w:r>
    </w:p>
    <w:p>
      <w:pPr>
        <w:pStyle w:val="Compact"/>
        <w:numPr>
          <w:ilvl w:val="0"/>
          <w:numId w:val="1001"/>
        </w:numPr>
      </w:pPr>
      <w:r>
        <w:t xml:space="preserve">Total Gastrectomy</w:t>
      </w:r>
    </w:p>
    <w:p>
      <w:pPr>
        <w:pStyle w:val="Compact"/>
        <w:numPr>
          <w:ilvl w:val="1"/>
          <w:numId w:val="1002"/>
        </w:numPr>
      </w:pPr>
      <w:r>
        <w:t xml:space="preserve">Surgical removal of all of stomach</w:t>
      </w:r>
    </w:p>
    <w:p>
      <w:pPr>
        <w:pStyle w:val="Compact"/>
        <w:numPr>
          <w:ilvl w:val="1"/>
          <w:numId w:val="1002"/>
        </w:numPr>
      </w:pPr>
      <w:r>
        <w:t xml:space="preserve">Permanent alteration in eating</w:t>
      </w:r>
    </w:p>
    <w:p>
      <w:pPr>
        <w:pStyle w:val="Compact"/>
        <w:numPr>
          <w:ilvl w:val="1"/>
          <w:numId w:val="1002"/>
        </w:numPr>
      </w:pPr>
      <w:r>
        <w:t xml:space="preserve">Requires Small Frequent meals</w:t>
      </w:r>
    </w:p>
    <w:bookmarkEnd w:id="27"/>
    <w:bookmarkStart w:id="28" w:name="sandwich-chemotherapy-drugs"/>
    <w:p>
      <w:pPr>
        <w:pStyle w:val="Heading2"/>
      </w:pPr>
      <w:r>
        <w:t xml:space="preserve">9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3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3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3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3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04"/>
        </w:numPr>
      </w:pPr>
      <w:r>
        <w:t xml:space="preserve">Endoscopy every 6-12 months</w:t>
      </w:r>
    </w:p>
    <w:p>
      <w:pPr>
        <w:pStyle w:val="Compact"/>
        <w:numPr>
          <w:ilvl w:val="0"/>
          <w:numId w:val="1004"/>
        </w:numPr>
      </w:pPr>
      <w:r>
        <w:t xml:space="preserve">Unknown how long this is required.</w:t>
      </w:r>
    </w:p>
    <w:bookmarkEnd w:id="28"/>
    <w:bookmarkStart w:id="29" w:name="layers-of-the-wall-of-the-stomach"/>
    <w:p>
      <w:pPr>
        <w:pStyle w:val="Heading2"/>
      </w:pPr>
      <w:r>
        <w:t xml:space="preserve">10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9"/>
    <w:bookmarkStart w:id="30" w:name="early-stage-cancers"/>
    <w:p>
      <w:pPr>
        <w:pStyle w:val="Heading2"/>
      </w:pPr>
      <w:r>
        <w:t xml:space="preserve">11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0"/>
    <w:bookmarkStart w:id="31" w:name="locally-advanced-cancers"/>
    <w:p>
      <w:pPr>
        <w:pStyle w:val="Heading2"/>
      </w:pPr>
      <w:r>
        <w:t xml:space="preserve">12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1"/>
    <w:bookmarkStart w:id="32" w:name="lymph-nodes"/>
    <w:p>
      <w:pPr>
        <w:pStyle w:val="Heading2"/>
      </w:pPr>
      <w:r>
        <w:t xml:space="preserve">13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2"/>
    <w:bookmarkStart w:id="33" w:name="t-stage"/>
    <w:p>
      <w:pPr>
        <w:pStyle w:val="Heading2"/>
      </w:pPr>
      <w:r>
        <w:t xml:space="preserve">14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3"/>
    <w:bookmarkStart w:id="34" w:name="n-stage"/>
    <w:p>
      <w:pPr>
        <w:pStyle w:val="Heading2"/>
      </w:pPr>
      <w:r>
        <w:t xml:space="preserve">15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4"/>
    <w:bookmarkStart w:id="35" w:name="m-stage"/>
    <w:p>
      <w:pPr>
        <w:pStyle w:val="Heading2"/>
      </w:pPr>
      <w:r>
        <w:t xml:space="preserve">16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35"/>
    <w:bookmarkStart w:id="36" w:name="pet-scan"/>
    <w:p>
      <w:pPr>
        <w:pStyle w:val="Heading2"/>
      </w:pPr>
      <w:r>
        <w:t xml:space="preserve">17 PET scan</w:t>
      </w:r>
    </w:p>
    <w:p>
      <w:pPr>
        <w:pStyle w:val="Compact"/>
        <w:numPr>
          <w:ilvl w:val="0"/>
          <w:numId w:val="1007"/>
        </w:numPr>
      </w:pPr>
      <w:r>
        <w:t xml:space="preserve">Similar to CT scan</w:t>
      </w:r>
    </w:p>
    <w:p>
      <w:pPr>
        <w:pStyle w:val="Compact"/>
        <w:numPr>
          <w:ilvl w:val="0"/>
          <w:numId w:val="1007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7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6"/>
    <w:bookmarkStart w:id="37" w:name="endoscopic-ultrasound"/>
    <w:p>
      <w:pPr>
        <w:pStyle w:val="Heading2"/>
      </w:pPr>
      <w:r>
        <w:t xml:space="preserve">18 Endoscopic Ultrasound</w:t>
      </w:r>
    </w:p>
    <w:p>
      <w:pPr>
        <w:pStyle w:val="Compact"/>
        <w:numPr>
          <w:ilvl w:val="0"/>
          <w:numId w:val="1008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8"/>
        </w:numPr>
      </w:pPr>
      <w:r>
        <w:t xml:space="preserve">Ultrasound probe in scope</w:t>
      </w:r>
    </w:p>
    <w:p>
      <w:pPr>
        <w:pStyle w:val="Compact"/>
        <w:numPr>
          <w:ilvl w:val="0"/>
          <w:numId w:val="1008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09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0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0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0"/>
        </w:numPr>
      </w:pPr>
      <w:r>
        <w:t xml:space="preserve">Biopsies can be performed.</w:t>
      </w:r>
    </w:p>
    <w:bookmarkEnd w:id="39"/>
    <w:bookmarkStart w:id="40" w:name="treatment-plan"/>
    <w:p>
      <w:pPr>
        <w:pStyle w:val="Heading2"/>
      </w:pPr>
      <w:r>
        <w:t xml:space="preserve">21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1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1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1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1"/>
        </w:numPr>
      </w:pPr>
      <w:r>
        <w:t xml:space="preserve">Metastatic cancers are M1 and are treated primary by chemotherapy.</w:t>
      </w:r>
    </w:p>
    <w:bookmarkEnd w:id="40"/>
    <w:bookmarkStart w:id="41" w:name="locally-advanced-adenocarcinoma"/>
    <w:p>
      <w:pPr>
        <w:pStyle w:val="Heading2"/>
      </w:pPr>
      <w:r>
        <w:t xml:space="preserve">22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p>
      <w:pPr>
        <w:pStyle w:val="Compact"/>
        <w:numPr>
          <w:ilvl w:val="0"/>
          <w:numId w:val="1012"/>
        </w:numPr>
      </w:pPr>
      <w:r>
        <w:t xml:space="preserve">ECF (less commonly used)</w:t>
      </w:r>
    </w:p>
    <w:bookmarkEnd w:id="41"/>
    <w:bookmarkStart w:id="42" w:name="sandwich-chemotherapy-drugs-1"/>
    <w:p>
      <w:pPr>
        <w:pStyle w:val="Heading2"/>
      </w:pPr>
      <w:r>
        <w:t xml:space="preserve">23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2"/>
    <w:bookmarkStart w:id="43" w:name="tumor-biomarkers"/>
    <w:p>
      <w:pPr>
        <w:pStyle w:val="Heading2"/>
      </w:pPr>
      <w:r>
        <w:t xml:space="preserve">24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3"/>
    <w:bookmarkStart w:id="45" w:name="chemotherapy"/>
    <w:p>
      <w:pPr>
        <w:pStyle w:val="Heading2"/>
      </w:pPr>
      <w:r>
        <w:t xml:space="preserve">25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6"/>
        </w:numPr>
      </w:pPr>
      <w:r>
        <w:t xml:space="preserve">Peripheral IVs in the hand</w:t>
      </w:r>
    </w:p>
    <w:p>
      <w:pPr>
        <w:pStyle w:val="Compact"/>
        <w:numPr>
          <w:ilvl w:val="0"/>
          <w:numId w:val="1016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  <w:r>
        <w:br/>
      </w:r>
      <w:hyperlink r:id="rId44">
        <w:r>
          <w:rPr>
            <w:rStyle w:val="Hyperlink"/>
          </w:rPr>
          <w:t xml:space="preserve">Central Venous Port</w:t>
        </w:r>
      </w:hyperlink>
    </w:p>
    <w:bookmarkEnd w:id="45"/>
    <w:bookmarkStart w:id="46" w:name="restaging"/>
    <w:p>
      <w:pPr>
        <w:pStyle w:val="Heading2"/>
      </w:pPr>
      <w:r>
        <w:t xml:space="preserve">26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7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7"/>
        </w:numPr>
      </w:pPr>
      <w:r>
        <w:t xml:space="preserve">Timing depends upon recovery from therapy</w:t>
      </w:r>
    </w:p>
    <w:bookmarkEnd w:id="46"/>
    <w:bookmarkStart w:id="49" w:name="additional-slides"/>
    <w:p>
      <w:pPr>
        <w:pStyle w:val="Heading2"/>
      </w:pPr>
      <w:r>
        <w:t xml:space="preserve">27 Additional Slides</w:t>
      </w:r>
    </w:p>
    <w:p>
      <w:pPr>
        <w:pStyle w:val="FirstParagraph"/>
      </w:pPr>
      <w:hyperlink r:id="rId47">
        <w:r>
          <w:rPr>
            <w:rStyle w:val="Hyperlink"/>
          </w:rPr>
          <w:t xml:space="preserve">Nutrition Slideshow</w:t>
        </w:r>
      </w:hyperlink>
      <w:r>
        <w:br/>
      </w:r>
      <w:hyperlink r:id="rId48">
        <w:r>
          <w:rPr>
            <w:rStyle w:val="Hyperlink"/>
          </w:rPr>
          <w:t xml:space="preserve">Gastrectomy Slideshow</w:t>
        </w:r>
      </w:hyperlink>
      <w:r>
        <w:br/>
      </w:r>
      <w:hyperlink r:id="rId44">
        <w:r>
          <w:rPr>
            <w:rStyle w:val="Hyperlink"/>
          </w:rPr>
          <w:t xml:space="preserve">Central Venous Port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cvport.htm" TargetMode="External" /><Relationship Type="http://schemas.openxmlformats.org/officeDocument/2006/relationships/hyperlink" Id="rId48" Target="lci_gasgtrectomy.htm" TargetMode="External" /><Relationship Type="http://schemas.openxmlformats.org/officeDocument/2006/relationships/hyperlink" Id="rId47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cvport.htm" TargetMode="External" /><Relationship Type="http://schemas.openxmlformats.org/officeDocument/2006/relationships/hyperlink" Id="rId48" Target="lci_gasgtrectomy.htm" TargetMode="External" /><Relationship Type="http://schemas.openxmlformats.org/officeDocument/2006/relationships/hyperlink" Id="rId47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2025-01-04T23:47:34Z</dcterms:created>
  <dcterms:modified xsi:type="dcterms:W3CDTF">2025-01-04T23:47:34Z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