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  <w:r>
        <w:t xml:space="preserve"> </w:t>
      </w:r>
      <w:r>
        <w:t xml:space="preserve">Presence of the gene can be detected by genetic testing</w:t>
      </w:r>
      <w:r>
        <w:t xml:space="preserve"> </w:t>
      </w:r>
      <w:r>
        <w:t xml:space="preserve">Affected person can pass the gene to (on average) half of their children</w:t>
      </w:r>
      <w:r>
        <w:t xml:space="preserve"> </w:t>
      </w: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  <w:r>
        <w:t xml:space="preserve"> </w:t>
      </w:r>
      <w:r>
        <w:t xml:space="preserve">Majority of affected individuals will develop visible cancer by age 40</w:t>
      </w:r>
      <w:r>
        <w:t xml:space="preserve"> </w:t>
      </w: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  <w:r>
        <w:t xml:space="preserve"> </w:t>
      </w:r>
      <w:r>
        <w:t xml:space="preserve">CDH1 carriers with clinically apparent cancers which are large enough to cause symptoms generally are likely to have spread to lymph nodes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layers-of-the-wall-of-the-stomach"/>
    <w:p>
      <w:pPr>
        <w:pStyle w:val="Heading2"/>
      </w:pPr>
      <w:r>
        <w:t xml:space="preserve">15 Layers of the Wall of the Stomach</w:t>
      </w:r>
    </w:p>
    <w:p>
      <w:pPr>
        <w:pStyle w:val="FirstParagraph"/>
      </w:pPr>
      <w:r>
        <w:t xml:space="preserve">If we look at the walls of the stomach, we see several layers:</w:t>
      </w:r>
    </w:p>
    <w:p>
      <w:pPr>
        <w:pStyle w:val="BodyText"/>
      </w:pPr>
      <w:r>
        <w:br/>
      </w:r>
      <w:r>
        <w:t xml:space="preserve">- Mucosa - Inner layer</w:t>
      </w:r>
      <w:r>
        <w:br/>
      </w:r>
      <w:r>
        <w:t xml:space="preserve">- Muscle wall (muscularis)</w:t>
      </w:r>
      <w:r>
        <w:br/>
      </w:r>
      <w:r>
        <w:t xml:space="preserve">- Lymph nodes located in fat outside the muscle</w:t>
      </w:r>
    </w:p>
    <w:bookmarkEnd w:id="34"/>
    <w:bookmarkStart w:id="35" w:name="early-stage-cancers"/>
    <w:p>
      <w:pPr>
        <w:pStyle w:val="Heading2"/>
      </w:pPr>
      <w:r>
        <w:t xml:space="preserve">16 Early Stage Cancers</w:t>
      </w:r>
    </w:p>
    <w:p>
      <w:pPr>
        <w:pStyle w:val="FirstParagraph"/>
      </w:pPr>
      <w:r>
        <w:t xml:space="preserve">Early-stage cancers are those that are small and have not grown very far into the wall of the stomach.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35"/>
    <w:bookmarkStart w:id="36" w:name="locally-advanced-cancers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36"/>
    <w:bookmarkStart w:id="37" w:name="lymph-nodes"/>
    <w:p>
      <w:pPr>
        <w:pStyle w:val="Heading2"/>
      </w:pPr>
      <w:r>
        <w:t xml:space="preserve">18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7"/>
    <w:bookmarkStart w:id="38" w:name="t-stage"/>
    <w:p>
      <w:pPr>
        <w:pStyle w:val="Heading2"/>
      </w:pPr>
      <w:r>
        <w:t xml:space="preserve">19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38"/>
    <w:bookmarkStart w:id="39" w:name="n-stage"/>
    <w:p>
      <w:pPr>
        <w:pStyle w:val="Heading2"/>
      </w:pPr>
      <w:r>
        <w:t xml:space="preserve">20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to the lymph nodes.</w:t>
      </w:r>
    </w:p>
    <w:bookmarkEnd w:id="39"/>
    <w:bookmarkStart w:id="40" w:name="m-stage"/>
    <w:p>
      <w:pPr>
        <w:pStyle w:val="Heading2"/>
      </w:pPr>
      <w:r>
        <w:t xml:space="preserve">21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are considered Stage 4</w:t>
      </w:r>
    </w:p>
    <w:bookmarkEnd w:id="40"/>
    <w:bookmarkStart w:id="41" w:name="pet-scan"/>
    <w:p>
      <w:pPr>
        <w:pStyle w:val="Heading2"/>
      </w:pPr>
      <w:r>
        <w:t xml:space="preserve">22 PET scan</w:t>
      </w:r>
    </w:p>
    <w:p>
      <w:pPr>
        <w:pStyle w:val="Compact"/>
        <w:numPr>
          <w:ilvl w:val="0"/>
          <w:numId w:val="1013"/>
        </w:numPr>
      </w:pPr>
      <w:r>
        <w:t xml:space="preserve">Similar to CT scan</w:t>
      </w:r>
    </w:p>
    <w:p>
      <w:pPr>
        <w:pStyle w:val="Compact"/>
        <w:numPr>
          <w:ilvl w:val="0"/>
          <w:numId w:val="1013"/>
        </w:numPr>
      </w:pPr>
      <w:r>
        <w:t xml:space="preserve">Tracer lights up areas of cancer</w:t>
      </w:r>
    </w:p>
    <w:p>
      <w:pPr>
        <w:pStyle w:val="Compact"/>
        <w:numPr>
          <w:ilvl w:val="0"/>
          <w:numId w:val="1013"/>
        </w:numPr>
      </w:pPr>
      <w:r>
        <w:t xml:space="preserve">Preparation: Water (only) for 6 hours before</w:t>
      </w:r>
    </w:p>
    <w:p>
      <w:pPr>
        <w:pStyle w:val="FirstParagraph"/>
      </w:pPr>
      <w:r>
        <w:t xml:space="preserve">In some cases, the PET scan is not performed until a CT scans bas been done.</w:t>
      </w:r>
    </w:p>
    <w:bookmarkEnd w:id="41"/>
    <w:bookmarkStart w:id="42" w:name="endoscopic-ultrasound"/>
    <w:p>
      <w:pPr>
        <w:pStyle w:val="Heading2"/>
      </w:pPr>
      <w:r>
        <w:t xml:space="preserve">23 Endoscopic Ultrasound</w:t>
      </w:r>
    </w:p>
    <w:p>
      <w:pPr>
        <w:pStyle w:val="Compact"/>
        <w:numPr>
          <w:ilvl w:val="0"/>
          <w:numId w:val="1014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14"/>
        </w:numPr>
      </w:pPr>
      <w:r>
        <w:t xml:space="preserve">Ultrasound probe in scope</w:t>
      </w:r>
    </w:p>
    <w:p>
      <w:pPr>
        <w:pStyle w:val="Compact"/>
        <w:numPr>
          <w:ilvl w:val="0"/>
          <w:numId w:val="1014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42"/>
    <w:bookmarkStart w:id="43" w:name="laparoscopy"/>
    <w:p>
      <w:pPr>
        <w:pStyle w:val="Heading2"/>
      </w:pPr>
      <w:r>
        <w:t xml:space="preserve">24 Laparoscopy</w:t>
      </w:r>
    </w:p>
    <w:p>
      <w:pPr>
        <w:pStyle w:val="Compact"/>
        <w:numPr>
          <w:ilvl w:val="0"/>
          <w:numId w:val="1015"/>
        </w:numPr>
      </w:pPr>
      <w:r>
        <w:t xml:space="preserve">Some cancers can spread inside the abdomen</w:t>
      </w:r>
    </w:p>
    <w:p>
      <w:pPr>
        <w:pStyle w:val="Compact"/>
        <w:numPr>
          <w:ilvl w:val="0"/>
          <w:numId w:val="1015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5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stoach cancer need a laparoscopy.</w:t>
      </w:r>
    </w:p>
    <w:bookmarkEnd w:id="43"/>
    <w:bookmarkStart w:id="44" w:name="laparoscopy-1"/>
    <w:p>
      <w:pPr>
        <w:pStyle w:val="Heading2"/>
      </w:pPr>
      <w:r>
        <w:t xml:space="preserve">25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6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6"/>
        </w:numPr>
      </w:pPr>
      <w:r>
        <w:t xml:space="preserve">Telescope looks inside the abdominal cavity.</w:t>
      </w:r>
    </w:p>
    <w:p>
      <w:pPr>
        <w:pStyle w:val="Compact"/>
        <w:numPr>
          <w:ilvl w:val="0"/>
          <w:numId w:val="1016"/>
        </w:numPr>
      </w:pPr>
      <w:r>
        <w:t xml:space="preserve">Biopsies can be performed.</w:t>
      </w:r>
    </w:p>
    <w:bookmarkEnd w:id="44"/>
    <w:bookmarkStart w:id="45" w:name="treatment-plan"/>
    <w:p>
      <w:pPr>
        <w:pStyle w:val="Heading2"/>
      </w:pPr>
      <w:r>
        <w:t xml:space="preserve">26 Treatment Plan</w:t>
      </w:r>
    </w:p>
    <w:p>
      <w:pPr>
        <w:pStyle w:val="FirstParagraph"/>
      </w:pP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7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17"/>
        </w:numPr>
      </w:pPr>
      <w:r>
        <w:t xml:space="preserve">Metastatic cancers are M1 and are treated primary by chemotherapy.</w:t>
      </w:r>
    </w:p>
    <w:bookmarkEnd w:id="45"/>
    <w:bookmarkStart w:id="46" w:name="locally-advanced-adenocarcinoma"/>
    <w:p>
      <w:pPr>
        <w:pStyle w:val="Heading2"/>
      </w:pPr>
      <w:r>
        <w:t xml:space="preserve">27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and after surgery:</w:t>
      </w:r>
    </w:p>
    <w:p>
      <w:pPr>
        <w:pStyle w:val="BodyText"/>
      </w:pPr>
      <w:r>
        <w:t xml:space="preserve">Chemotherapy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8"/>
        </w:numPr>
      </w:pPr>
      <w:r>
        <w:t xml:space="preserve">FLOT (more effective)</w:t>
      </w:r>
    </w:p>
    <w:p>
      <w:pPr>
        <w:pStyle w:val="Compact"/>
        <w:numPr>
          <w:ilvl w:val="0"/>
          <w:numId w:val="1018"/>
        </w:numPr>
      </w:pPr>
      <w:r>
        <w:t xml:space="preserve">FOLFOX (better tolerated)</w:t>
      </w:r>
    </w:p>
    <w:p>
      <w:pPr>
        <w:pStyle w:val="Compact"/>
        <w:numPr>
          <w:ilvl w:val="0"/>
          <w:numId w:val="1018"/>
        </w:numPr>
      </w:pPr>
      <w:r>
        <w:t xml:space="preserve">ECF (less commonly used)</w:t>
      </w:r>
    </w:p>
    <w:bookmarkEnd w:id="46"/>
    <w:bookmarkStart w:id="47" w:name="sandwich-chemotherapy-drugs"/>
    <w:p>
      <w:pPr>
        <w:pStyle w:val="Heading2"/>
      </w:pPr>
      <w:r>
        <w:t xml:space="preserve">28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9"/>
        </w:numPr>
      </w:pPr>
      <w:r>
        <w:t xml:space="preserve">5-FU</w:t>
      </w:r>
    </w:p>
    <w:p>
      <w:pPr>
        <w:pStyle w:val="Compact"/>
        <w:numPr>
          <w:ilvl w:val="0"/>
          <w:numId w:val="1019"/>
        </w:numPr>
      </w:pPr>
      <w:r>
        <w:t xml:space="preserve">Leucovorion</w:t>
      </w:r>
    </w:p>
    <w:p>
      <w:pPr>
        <w:pStyle w:val="Compact"/>
        <w:numPr>
          <w:ilvl w:val="0"/>
          <w:numId w:val="1019"/>
        </w:numPr>
      </w:pPr>
      <w:r>
        <w:t xml:space="preserve">Oxaliplatin</w:t>
      </w:r>
    </w:p>
    <w:p>
      <w:pPr>
        <w:pStyle w:val="Compact"/>
        <w:numPr>
          <w:ilvl w:val="0"/>
          <w:numId w:val="1019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20"/>
        </w:numPr>
      </w:pPr>
      <w:r>
        <w:t xml:space="preserve">5-FU</w:t>
      </w:r>
    </w:p>
    <w:p>
      <w:pPr>
        <w:pStyle w:val="Compact"/>
        <w:numPr>
          <w:ilvl w:val="0"/>
          <w:numId w:val="1020"/>
        </w:numPr>
      </w:pPr>
      <w:r>
        <w:t xml:space="preserve">Leucovorin</w:t>
      </w:r>
    </w:p>
    <w:p>
      <w:pPr>
        <w:pStyle w:val="Compact"/>
        <w:numPr>
          <w:ilvl w:val="0"/>
          <w:numId w:val="1020"/>
        </w:numPr>
      </w:pPr>
      <w:r>
        <w:t xml:space="preserve">Oxaliplatin</w:t>
      </w:r>
    </w:p>
    <w:bookmarkEnd w:id="47"/>
    <w:bookmarkStart w:id="48" w:name="tumor-biomarkers"/>
    <w:p>
      <w:pPr>
        <w:pStyle w:val="Heading2"/>
      </w:pPr>
      <w:r>
        <w:t xml:space="preserve">29 Tumor Biomarkers</w:t>
      </w:r>
    </w:p>
    <w:p>
      <w:pPr>
        <w:pStyle w:val="FirstParagraph"/>
      </w:pPr>
      <w:r>
        <w:t xml:space="preserve">Surface proteins found on cancers which may show that additional drugs may be helpful:</w:t>
      </w:r>
    </w:p>
    <w:p>
      <w:pPr>
        <w:pStyle w:val="Compact"/>
        <w:numPr>
          <w:ilvl w:val="0"/>
          <w:numId w:val="1021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21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21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48"/>
    <w:bookmarkStart w:id="50" w:name="chemotherapy"/>
    <w:p>
      <w:pPr>
        <w:pStyle w:val="Heading2"/>
      </w:pPr>
      <w:r>
        <w:t xml:space="preserve">30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22"/>
        </w:numPr>
      </w:pPr>
      <w:r>
        <w:t xml:space="preserve">Peripheral IVs in the hand</w:t>
      </w:r>
    </w:p>
    <w:p>
      <w:pPr>
        <w:pStyle w:val="Compact"/>
        <w:numPr>
          <w:ilvl w:val="0"/>
          <w:numId w:val="1022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22"/>
        </w:numPr>
      </w:pPr>
      <w:r>
        <w:t xml:space="preserve">Central Venous Port</w:t>
      </w:r>
      <w:r>
        <w:br/>
      </w:r>
      <w:hyperlink r:id="rId49">
        <w:r>
          <w:rPr>
            <w:rStyle w:val="Hyperlink"/>
          </w:rPr>
          <w:t xml:space="preserve">Central Venous Port</w:t>
        </w:r>
      </w:hyperlink>
    </w:p>
    <w:bookmarkEnd w:id="50"/>
    <w:bookmarkStart w:id="51" w:name="restaging"/>
    <w:p>
      <w:pPr>
        <w:pStyle w:val="Heading2"/>
      </w:pPr>
      <w:r>
        <w:t xml:space="preserve">31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3"/>
        </w:numPr>
      </w:pPr>
      <w:r>
        <w:t xml:space="preserve">Timing depends upon recovery from therapy</w:t>
      </w:r>
    </w:p>
    <w:bookmarkEnd w:id="51"/>
    <w:bookmarkStart w:id="54" w:name="additional-slides"/>
    <w:p>
      <w:pPr>
        <w:pStyle w:val="Heading2"/>
      </w:pPr>
      <w:r>
        <w:t xml:space="preserve">32 Additional Slides</w:t>
      </w:r>
    </w:p>
    <w:p>
      <w:pPr>
        <w:pStyle w:val="FirstParagraph"/>
      </w:pPr>
      <w:hyperlink r:id="rId52">
        <w:r>
          <w:rPr>
            <w:rStyle w:val="Hyperlink"/>
          </w:rPr>
          <w:t xml:space="preserve">Nutrition Slideshow</w:t>
        </w:r>
      </w:hyperlink>
      <w:r>
        <w:br/>
      </w:r>
      <w:hyperlink r:id="rId53">
        <w:r>
          <w:rPr>
            <w:rStyle w:val="Hyperlink"/>
          </w:rPr>
          <w:t xml:space="preserve">Gastrectomy Slideshow</w:t>
        </w:r>
      </w:hyperlink>
      <w:r>
        <w:br/>
      </w:r>
      <w:hyperlink r:id="rId49">
        <w:r>
          <w:rPr>
            <w:rStyle w:val="Hyperlink"/>
          </w:rPr>
          <w:t xml:space="preserve">Central Venous Port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lci_cvport.htm" TargetMode="External" /><Relationship Type="http://schemas.openxmlformats.org/officeDocument/2006/relationships/hyperlink" Id="rId53" Target="lci_gasgtrectomy.htm" TargetMode="External" /><Relationship Type="http://schemas.openxmlformats.org/officeDocument/2006/relationships/hyperlink" Id="rId52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lci_cvport.htm" TargetMode="External" /><Relationship Type="http://schemas.openxmlformats.org/officeDocument/2006/relationships/hyperlink" Id="rId53" Target="lci_gasgtrectomy.htm" TargetMode="External" /><Relationship Type="http://schemas.openxmlformats.org/officeDocument/2006/relationships/hyperlink" Id="rId52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2025-01-10T22:44:16Z</dcterms:created>
  <dcterms:modified xsi:type="dcterms:W3CDTF">2025-01-10T22:44:16Z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