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Stomach Cancer and CDH1 Gene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 microscopic tumor in the removed stomach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</w:p>
    <w:p>
      <w:pPr>
        <w:pStyle w:val="BodyText"/>
      </w:pPr>
      <w:r>
        <w:t xml:space="preserve">Presence of the gene can be detected by genetic testing</w:t>
      </w:r>
    </w:p>
    <w:p>
      <w:pPr>
        <w:pStyle w:val="BodyText"/>
      </w:pPr>
      <w:r>
        <w:t xml:space="preserve">Affected person can pass the gene to (on average) half of their children</w:t>
      </w:r>
    </w:p>
    <w:p>
      <w:pPr>
        <w:pStyle w:val="BodyText"/>
      </w:pP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</w:p>
    <w:p>
      <w:pPr>
        <w:pStyle w:val="BodyText"/>
      </w:pPr>
      <w:r>
        <w:t xml:space="preserve">Majority of affected individuals will develop visible cancer by age 40</w:t>
      </w:r>
    </w:p>
    <w:p>
      <w:pPr>
        <w:pStyle w:val="BodyText"/>
      </w:pP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</w:p>
    <w:p>
      <w:pPr>
        <w:pStyle w:val="BodyText"/>
      </w:pPr>
      <w:r>
        <w:t xml:space="preserve">CDH1 carriers with clinically apparent cancers which are large enough to cause symptoms generally are likely to have spread to lymph nodes at the time of diagnosis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total-gastrectomy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Removes all of the stomach</w:t>
      </w:r>
    </w:p>
    <w:p>
      <w:pPr>
        <w:pStyle w:val="Compact"/>
        <w:numPr>
          <w:ilvl w:val="0"/>
          <w:numId w:val="1011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1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-1"/>
    <w:p>
      <w:pPr>
        <w:pStyle w:val="Heading2"/>
      </w:pPr>
      <w:r>
        <w:t xml:space="preserve">16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Stomach Cancer and CDH1 Gene</dc:title>
  <dc:creator/>
  <cp:keywords/>
  <dcterms:created xsi:type="dcterms:W3CDTF">2025-03-04T16:12:06Z</dcterms:created>
  <dcterms:modified xsi:type="dcterms:W3CDTF">2025-03-04T16:12:06Z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