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  <w:r>
        <w:t xml:space="preserve"> </w:t>
      </w:r>
      <w:r>
        <w:t xml:space="preserve">Presence of the gene can be detected by genetic testing</w:t>
      </w:r>
      <w:r>
        <w:t xml:space="preserve"> </w:t>
      </w:r>
      <w:r>
        <w:t xml:space="preserve">Affected person can pass the gene to (on average) half of their children</w:t>
      </w:r>
      <w:r>
        <w:t xml:space="preserve"> </w:t>
      </w: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  <w:r>
        <w:t xml:space="preserve"> </w:t>
      </w:r>
      <w:r>
        <w:t xml:space="preserve">Majority of affected individuals will develop visible cancer by age 40</w:t>
      </w:r>
      <w:r>
        <w:t xml:space="preserve"> </w:t>
      </w: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  <w:r>
        <w:t xml:space="preserve"> </w:t>
      </w:r>
      <w:r>
        <w:t xml:space="preserve">CDH1 carriers with clinically apparent cancers which are large enough to cause symptoms generally are likely to have spread to lymph nodes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layers-of-the-wall-of-the-stomach"/>
    <w:p>
      <w:pPr>
        <w:pStyle w:val="Heading2"/>
      </w:pPr>
      <w:r>
        <w:t xml:space="preserve">15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34"/>
    <w:bookmarkStart w:id="35" w:name="early-stage-cancers"/>
    <w:p>
      <w:pPr>
        <w:pStyle w:val="Heading2"/>
      </w:pPr>
      <w:r>
        <w:t xml:space="preserve">16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35"/>
    <w:bookmarkStart w:id="36" w:name="locally-advanced-cancers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36"/>
    <w:bookmarkStart w:id="37" w:name="lymph-nodes"/>
    <w:p>
      <w:pPr>
        <w:pStyle w:val="Heading2"/>
      </w:pPr>
      <w:r>
        <w:t xml:space="preserve">18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7"/>
    <w:bookmarkStart w:id="38" w:name="t-stage"/>
    <w:p>
      <w:pPr>
        <w:pStyle w:val="Heading2"/>
      </w:pPr>
      <w:r>
        <w:t xml:space="preserve">19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38"/>
    <w:bookmarkStart w:id="39" w:name="n-stage"/>
    <w:p>
      <w:pPr>
        <w:pStyle w:val="Heading2"/>
      </w:pPr>
      <w:r>
        <w:t xml:space="preserve">20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39"/>
    <w:bookmarkStart w:id="40" w:name="m-stage"/>
    <w:p>
      <w:pPr>
        <w:pStyle w:val="Heading2"/>
      </w:pPr>
      <w:r>
        <w:t xml:space="preserve">21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40"/>
    <w:bookmarkStart w:id="41" w:name="pet-scan"/>
    <w:p>
      <w:pPr>
        <w:pStyle w:val="Heading2"/>
      </w:pPr>
      <w:r>
        <w:t xml:space="preserve">22 PET scan</w:t>
      </w:r>
    </w:p>
    <w:p>
      <w:pPr>
        <w:pStyle w:val="Compact"/>
        <w:numPr>
          <w:ilvl w:val="0"/>
          <w:numId w:val="1013"/>
        </w:numPr>
      </w:pPr>
      <w:r>
        <w:t xml:space="preserve">Similar to CT scan</w:t>
      </w:r>
    </w:p>
    <w:p>
      <w:pPr>
        <w:pStyle w:val="Compact"/>
        <w:numPr>
          <w:ilvl w:val="0"/>
          <w:numId w:val="1013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13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41"/>
    <w:bookmarkStart w:id="42" w:name="endoscopic-ultrasound"/>
    <w:p>
      <w:pPr>
        <w:pStyle w:val="Heading2"/>
      </w:pPr>
      <w:r>
        <w:t xml:space="preserve">23 Endoscopic Ultrasound</w:t>
      </w:r>
    </w:p>
    <w:p>
      <w:pPr>
        <w:pStyle w:val="Compact"/>
        <w:numPr>
          <w:ilvl w:val="0"/>
          <w:numId w:val="1014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14"/>
        </w:numPr>
      </w:pPr>
      <w:r>
        <w:t xml:space="preserve">Ultrasound probe in scope</w:t>
      </w:r>
    </w:p>
    <w:p>
      <w:pPr>
        <w:pStyle w:val="Compact"/>
        <w:numPr>
          <w:ilvl w:val="0"/>
          <w:numId w:val="1014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42"/>
    <w:bookmarkStart w:id="43" w:name="laparoscopy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15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1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43"/>
    <w:bookmarkStart w:id="44" w:name="laparoscopy-1"/>
    <w:p>
      <w:pPr>
        <w:pStyle w:val="Heading2"/>
      </w:pPr>
      <w:r>
        <w:t xml:space="preserve">25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6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16"/>
        </w:numPr>
      </w:pPr>
      <w:r>
        <w:t xml:space="preserve">Biopsies can be performed.</w:t>
      </w:r>
    </w:p>
    <w:bookmarkEnd w:id="44"/>
    <w:bookmarkStart w:id="45" w:name="treatment-plan"/>
    <w:p>
      <w:pPr>
        <w:pStyle w:val="Heading2"/>
      </w:pPr>
      <w:r>
        <w:t xml:space="preserve">26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7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7"/>
        </w:numPr>
      </w:pPr>
      <w:r>
        <w:t xml:space="preserve">Metastatic cancers are M1 and are treated primary by chemotherapy.</w:t>
      </w:r>
    </w:p>
    <w:bookmarkEnd w:id="45"/>
    <w:bookmarkStart w:id="46" w:name="locally-advanced-adenocarcinoma"/>
    <w:p>
      <w:pPr>
        <w:pStyle w:val="Heading2"/>
      </w:pPr>
      <w:r>
        <w:t xml:space="preserve">27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8"/>
        </w:numPr>
      </w:pPr>
      <w:r>
        <w:t xml:space="preserve">FLOT (more effective)</w:t>
      </w:r>
    </w:p>
    <w:p>
      <w:pPr>
        <w:pStyle w:val="Compact"/>
        <w:numPr>
          <w:ilvl w:val="0"/>
          <w:numId w:val="1018"/>
        </w:numPr>
      </w:pPr>
      <w:r>
        <w:t xml:space="preserve">FOLFOX (better tolerated)</w:t>
      </w:r>
    </w:p>
    <w:p>
      <w:pPr>
        <w:pStyle w:val="Compact"/>
        <w:numPr>
          <w:ilvl w:val="0"/>
          <w:numId w:val="1018"/>
        </w:numPr>
      </w:pPr>
      <w:r>
        <w:t xml:space="preserve">ECF (less commonly used)</w:t>
      </w:r>
    </w:p>
    <w:bookmarkEnd w:id="46"/>
    <w:bookmarkStart w:id="47" w:name="sandwich-chemotherapy-drugs"/>
    <w:p>
      <w:pPr>
        <w:pStyle w:val="Heading2"/>
      </w:pPr>
      <w:r>
        <w:t xml:space="preserve">28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9"/>
        </w:numPr>
      </w:pPr>
      <w:r>
        <w:t xml:space="preserve">5-FU</w:t>
      </w:r>
    </w:p>
    <w:p>
      <w:pPr>
        <w:pStyle w:val="Compact"/>
        <w:numPr>
          <w:ilvl w:val="0"/>
          <w:numId w:val="1019"/>
        </w:numPr>
      </w:pPr>
      <w:r>
        <w:t xml:space="preserve">Leucovorion</w:t>
      </w:r>
    </w:p>
    <w:p>
      <w:pPr>
        <w:pStyle w:val="Compact"/>
        <w:numPr>
          <w:ilvl w:val="0"/>
          <w:numId w:val="1019"/>
        </w:numPr>
      </w:pPr>
      <w:r>
        <w:t xml:space="preserve">Oxaliplatin</w:t>
      </w:r>
    </w:p>
    <w:p>
      <w:pPr>
        <w:pStyle w:val="Compact"/>
        <w:numPr>
          <w:ilvl w:val="0"/>
          <w:numId w:val="1019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20"/>
        </w:numPr>
      </w:pPr>
      <w:r>
        <w:t xml:space="preserve">5-FU</w:t>
      </w:r>
    </w:p>
    <w:p>
      <w:pPr>
        <w:pStyle w:val="Compact"/>
        <w:numPr>
          <w:ilvl w:val="0"/>
          <w:numId w:val="1020"/>
        </w:numPr>
      </w:pPr>
      <w:r>
        <w:t xml:space="preserve">Leucovorin</w:t>
      </w:r>
    </w:p>
    <w:p>
      <w:pPr>
        <w:pStyle w:val="Compact"/>
        <w:numPr>
          <w:ilvl w:val="0"/>
          <w:numId w:val="1020"/>
        </w:numPr>
      </w:pPr>
      <w:r>
        <w:t xml:space="preserve">Oxaliplatin</w:t>
      </w:r>
    </w:p>
    <w:bookmarkEnd w:id="47"/>
    <w:bookmarkStart w:id="48" w:name="tumor-biomarkers"/>
    <w:p>
      <w:pPr>
        <w:pStyle w:val="Heading2"/>
      </w:pPr>
      <w:r>
        <w:t xml:space="preserve">29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21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21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21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8"/>
    <w:bookmarkStart w:id="50" w:name="chemotherapy"/>
    <w:p>
      <w:pPr>
        <w:pStyle w:val="Heading2"/>
      </w:pPr>
      <w:r>
        <w:t xml:space="preserve">30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22"/>
        </w:numPr>
      </w:pPr>
      <w:r>
        <w:t xml:space="preserve">Peripheral IVs in the hand</w:t>
      </w:r>
    </w:p>
    <w:p>
      <w:pPr>
        <w:pStyle w:val="Compact"/>
        <w:numPr>
          <w:ilvl w:val="0"/>
          <w:numId w:val="1022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22"/>
        </w:numPr>
      </w:pPr>
      <w:r>
        <w:t xml:space="preserve">Central Venous Port</w:t>
      </w:r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0"/>
    <w:bookmarkStart w:id="51" w:name="restaging"/>
    <w:p>
      <w:pPr>
        <w:pStyle w:val="Heading2"/>
      </w:pPr>
      <w:r>
        <w:t xml:space="preserve">31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1"/>
    <w:bookmarkStart w:id="54" w:name="additional-slides"/>
    <w:p>
      <w:pPr>
        <w:pStyle w:val="Heading2"/>
      </w:pPr>
      <w:r>
        <w:t xml:space="preserve">32 Additional Slides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  <w:r>
        <w:br/>
      </w:r>
      <w:hyperlink r:id="rId53">
        <w:r>
          <w:rPr>
            <w:rStyle w:val="Hyperlink"/>
          </w:rPr>
          <w:t xml:space="preserve">Gastrectomy Slideshow</w:t>
        </w:r>
      </w:hyperlink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2025-01-06T13:18:30Z</dcterms:created>
  <dcterms:modified xsi:type="dcterms:W3CDTF">2025-01-06T13:18:30Z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