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X24de4000c031f200c5dfe01452aa364022c5d0d"/>
    <w:p>
      <w:pPr>
        <w:pStyle w:val="Heading2"/>
      </w:pPr>
      <w:r>
        <w:t xml:space="preserve">2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02"/>
        </w:numPr>
      </w:pPr>
      <w:r>
        <w:t xml:space="preserve">Placed at the beginning of each dose</w:t>
      </w:r>
    </w:p>
    <w:p>
      <w:pPr>
        <w:pStyle w:val="Compact"/>
        <w:numPr>
          <w:ilvl w:val="0"/>
          <w:numId w:val="1002"/>
        </w:numPr>
      </w:pPr>
      <w:r>
        <w:t xml:space="preserve">Removed that day at the end of treatment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1"/>
    <w:bookmarkStart w:id="22" w:name="picc-lines"/>
    <w:p>
      <w:pPr>
        <w:pStyle w:val="Heading2"/>
      </w:pPr>
      <w:r>
        <w:t xml:space="preserve">3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2"/>
    <w:bookmarkStart w:id="23" w:name="central-venous-port"/>
    <w:p>
      <w:pPr>
        <w:pStyle w:val="Heading2"/>
      </w:pPr>
      <w:r>
        <w:t xml:space="preserve">4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04"/>
        </w:numPr>
      </w:pPr>
      <w:r>
        <w:t xml:space="preserve">May shower within 24 hrs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Suitable for FLOT chemo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3"/>
    <w:bookmarkStart w:id="24" w:name="central-venous-port-1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5"/>
        </w:numPr>
      </w:pPr>
      <w:r>
        <w:t xml:space="preserve">Placed underneath the skin below the right collarbone</w:t>
      </w:r>
    </w:p>
    <w:p>
      <w:pPr>
        <w:pStyle w:val="Compact"/>
        <w:numPr>
          <w:ilvl w:val="0"/>
          <w:numId w:val="1005"/>
        </w:numPr>
      </w:pPr>
      <w:r>
        <w:t xml:space="preserve">Incision in the neck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4"/>
    <w:bookmarkStart w:id="25" w:name="central-venous-port-2"/>
    <w:p>
      <w:pPr>
        <w:pStyle w:val="Heading2"/>
      </w:pPr>
      <w:r>
        <w:t xml:space="preserve">6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2025-01-10T01:15:44Z</dcterms:created>
  <dcterms:modified xsi:type="dcterms:W3CDTF">2025-01-10T01:15:44Z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