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Central Venous Port</w:t>
      </w:r>
    </w:p>
    <w:bookmarkStart w:id="20" w:name="chemotherapy-administration"/>
    <w:p>
      <w:pPr>
        <w:pStyle w:val="Heading2"/>
      </w:pPr>
      <w:r>
        <w:t xml:space="preserve">1 Chemotherapy Administration</w:t>
      </w:r>
    </w:p>
    <w:p>
      <w:pPr>
        <w:pStyle w:val="FirstParagraph"/>
      </w:pPr>
      <w:r>
        <w:t xml:space="preserve">Most chemotherapy for esophageal cancer is administered into a vein.</w:t>
      </w:r>
    </w:p>
    <w:p>
      <w:pPr>
        <w:pStyle w:val="BodyText"/>
      </w:pPr>
      <w:r>
        <w:t xml:space="preserve">Several options exist to administer chemotherapy through veins:</w:t>
      </w:r>
    </w:p>
    <w:p>
      <w:pPr>
        <w:pStyle w:val="Compact"/>
        <w:numPr>
          <w:ilvl w:val="0"/>
          <w:numId w:val="1001"/>
        </w:numPr>
      </w:pPr>
      <w:r>
        <w:t xml:space="preserve">Intravenous catheter in peripheral veins</w:t>
      </w:r>
    </w:p>
    <w:p>
      <w:pPr>
        <w:pStyle w:val="Compact"/>
        <w:numPr>
          <w:ilvl w:val="0"/>
          <w:numId w:val="1001"/>
        </w:numPr>
      </w:pPr>
      <w:r>
        <w:t xml:space="preserve">Peripheral Intravenous Central Catheter (PICC)</w:t>
      </w:r>
    </w:p>
    <w:p>
      <w:pPr>
        <w:pStyle w:val="Compact"/>
        <w:numPr>
          <w:ilvl w:val="0"/>
          <w:numId w:val="1001"/>
        </w:numPr>
      </w:pPr>
      <w:r>
        <w:t xml:space="preserve">Central Venous port</w:t>
      </w:r>
    </w:p>
    <w:bookmarkEnd w:id="20"/>
    <w:bookmarkStart w:id="21" w:name="peripheral-iv-catheter"/>
    <w:p>
      <w:pPr>
        <w:pStyle w:val="Heading2"/>
      </w:pPr>
      <w:r>
        <w:t xml:space="preserve">2 Peripheral IV catheter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bookmarkEnd w:id="21"/>
    <w:bookmarkStart w:id="22" w:name="X24de4000c031f200c5dfe01452aa364022c5d0d"/>
    <w:p>
      <w:pPr>
        <w:pStyle w:val="Heading2"/>
      </w:pPr>
      <w:r>
        <w:t xml:space="preserve">3 Intravenous Catheter in Peripheral Vein (</w:t>
      </w:r>
      <w:r>
        <w:t xml:space="preserve">“IV”</w:t>
      </w:r>
      <w:r>
        <w:t xml:space="preserve">)</w:t>
      </w:r>
    </w:p>
    <w:p>
      <w:pPr>
        <w:pStyle w:val="Compact"/>
        <w:numPr>
          <w:ilvl w:val="0"/>
          <w:numId w:val="1002"/>
        </w:numPr>
      </w:pPr>
      <w:r>
        <w:t xml:space="preserve">IV catheter placed into a vein in the hand or arm</w:t>
      </w:r>
    </w:p>
    <w:p>
      <w:pPr>
        <w:pStyle w:val="Compact"/>
        <w:numPr>
          <w:ilvl w:val="0"/>
          <w:numId w:val="1002"/>
        </w:numPr>
      </w:pPr>
      <w:r>
        <w:t xml:space="preserve">Allows administration of chemotherapy and fluids</w:t>
      </w:r>
    </w:p>
    <w:p>
      <w:pPr>
        <w:pStyle w:val="Compact"/>
        <w:numPr>
          <w:ilvl w:val="0"/>
          <w:numId w:val="1002"/>
        </w:numPr>
      </w:pPr>
      <w:r>
        <w:t xml:space="preserve">Placed at the beginning of each dose</w:t>
      </w:r>
    </w:p>
    <w:p>
      <w:pPr>
        <w:pStyle w:val="Compact"/>
        <w:numPr>
          <w:ilvl w:val="0"/>
          <w:numId w:val="1002"/>
        </w:numPr>
      </w:pPr>
      <w:r>
        <w:t xml:space="preserve">Removed that day at the end of treatment</w:t>
      </w:r>
    </w:p>
    <w:p>
      <w:pPr>
        <w:pStyle w:val="Compact"/>
        <w:numPr>
          <w:ilvl w:val="0"/>
          <w:numId w:val="1002"/>
        </w:numPr>
      </w:pPr>
      <w:r>
        <w:t xml:space="preserve">Not suitable for FLOT chemotherapy</w:t>
      </w:r>
    </w:p>
    <w:p>
      <w:pPr>
        <w:pStyle w:val="FirstParagraph"/>
      </w:pPr>
      <w:r>
        <w:t xml:space="preserve">A peripheral IV catheter involves placing a small tube into the veins, which is then used to give fluids or chemotherapy</w:t>
      </w:r>
    </w:p>
    <w:p>
      <w:pPr>
        <w:pStyle w:val="BodyText"/>
      </w:pPr>
      <w:r>
        <w:t xml:space="preserve">A new catheter is placed for each dose of chemotherapy</w:t>
      </w:r>
    </w:p>
    <w:p>
      <w:pPr>
        <w:pStyle w:val="BodyText"/>
      </w:pPr>
      <w:r>
        <w:t xml:space="preserve">FLOT chemotherapy requires a home infusion pump, got which a peripheral IV won’t work</w:t>
      </w:r>
    </w:p>
    <w:bookmarkEnd w:id="22"/>
    <w:bookmarkStart w:id="23" w:name="picc-lines"/>
    <w:p>
      <w:pPr>
        <w:pStyle w:val="Heading2"/>
      </w:pPr>
      <w:r>
        <w:t xml:space="preserve">4 PICC Lines</w:t>
      </w:r>
    </w:p>
    <w:p>
      <w:pPr>
        <w:pStyle w:val="Compact"/>
        <w:numPr>
          <w:ilvl w:val="0"/>
          <w:numId w:val="1003"/>
        </w:numPr>
      </w:pPr>
      <w:r>
        <w:t xml:space="preserve">Placed in Radiology</w:t>
      </w:r>
    </w:p>
    <w:p>
      <w:pPr>
        <w:pStyle w:val="Compact"/>
        <w:numPr>
          <w:ilvl w:val="0"/>
          <w:numId w:val="1003"/>
        </w:numPr>
      </w:pPr>
      <w:r>
        <w:t xml:space="preserve">Stay in place during all of treatment</w:t>
      </w:r>
    </w:p>
    <w:p>
      <w:pPr>
        <w:pStyle w:val="Compact"/>
        <w:numPr>
          <w:ilvl w:val="0"/>
          <w:numId w:val="1003"/>
        </w:numPr>
      </w:pPr>
      <w:r>
        <w:t xml:space="preserve">Can stay in place for weeks</w:t>
      </w:r>
    </w:p>
    <w:p>
      <w:pPr>
        <w:pStyle w:val="Compact"/>
        <w:numPr>
          <w:ilvl w:val="0"/>
          <w:numId w:val="1003"/>
        </w:numPr>
      </w:pPr>
      <w:r>
        <w:t xml:space="preserve">Special care is needed at home to keep it clean and dry</w:t>
      </w:r>
    </w:p>
    <w:p>
      <w:pPr>
        <w:pStyle w:val="Compact"/>
        <w:numPr>
          <w:ilvl w:val="0"/>
          <w:numId w:val="1003"/>
        </w:numPr>
      </w:pPr>
      <w:r>
        <w:t xml:space="preserve">Suitable for FLOT chemotherapy</w:t>
      </w:r>
    </w:p>
    <w:p>
      <w:pPr>
        <w:pStyle w:val="FirstParagraph"/>
      </w:pPr>
      <w:r>
        <w:t xml:space="preserve">Special care is needed at home to keep the catheter and it’s dressing clean and dry</w:t>
      </w:r>
    </w:p>
    <w:p>
      <w:pPr>
        <w:pStyle w:val="BodyText"/>
      </w:pPr>
      <w:r>
        <w:t xml:space="preserve">A PICC line is placed in Radiology and stays in place during the treatment course</w:t>
      </w:r>
      <w:r>
        <w:t xml:space="preserve"> </w:t>
      </w:r>
      <w:r>
        <w:t xml:space="preserve">Special care is needed at home to keep the catheter and it’s dressing clean and dry</w:t>
      </w:r>
    </w:p>
    <w:bookmarkEnd w:id="23"/>
    <w:bookmarkStart w:id="24" w:name="central-venous-port"/>
    <w:p>
      <w:pPr>
        <w:pStyle w:val="Heading2"/>
      </w:pPr>
      <w:r>
        <w:t xml:space="preserve">5 Central Venous Port</w:t>
      </w:r>
    </w:p>
    <w:p>
      <w:pPr>
        <w:pStyle w:val="Compact"/>
        <w:numPr>
          <w:ilvl w:val="0"/>
          <w:numId w:val="1004"/>
        </w:numPr>
      </w:pPr>
      <w:r>
        <w:t xml:space="preserve">Implantable device that makes the administration of chemotherapy easier</w:t>
      </w:r>
    </w:p>
    <w:p>
      <w:pPr>
        <w:pStyle w:val="Compact"/>
        <w:numPr>
          <w:ilvl w:val="0"/>
          <w:numId w:val="1004"/>
        </w:numPr>
      </w:pPr>
      <w:r>
        <w:t xml:space="preserve">May shower within 24 hours</w:t>
      </w:r>
    </w:p>
    <w:p>
      <w:pPr>
        <w:pStyle w:val="Compact"/>
        <w:numPr>
          <w:ilvl w:val="0"/>
          <w:numId w:val="1004"/>
        </w:numPr>
      </w:pPr>
      <w:r>
        <w:t xml:space="preserve">No special care at home</w:t>
      </w:r>
    </w:p>
    <w:p>
      <w:pPr>
        <w:pStyle w:val="Compact"/>
        <w:numPr>
          <w:ilvl w:val="0"/>
          <w:numId w:val="1004"/>
        </w:numPr>
      </w:pPr>
      <w:r>
        <w:t xml:space="preserve">Suitable for FLOT chemotherapy</w:t>
      </w:r>
    </w:p>
    <w:p>
      <w:pPr>
        <w:pStyle w:val="Compact"/>
        <w:numPr>
          <w:ilvl w:val="0"/>
          <w:numId w:val="1004"/>
        </w:numPr>
      </w:pPr>
      <w:r>
        <w:t xml:space="preserve">Allows for blood draws</w:t>
      </w:r>
    </w:p>
    <w:p>
      <w:pPr>
        <w:pStyle w:val="FirstParagraph"/>
      </w:pPr>
      <w:r>
        <w:t xml:space="preserve">A central venous port is an implantable device that makes the administration of chemotherapy easier.</w:t>
      </w:r>
    </w:p>
    <w:p>
      <w:pPr>
        <w:pStyle w:val="BodyText"/>
      </w:pPr>
      <w:r>
        <w:t xml:space="preserve">Once it is in place, it requires no special care at home</w:t>
      </w:r>
    </w:p>
    <w:p>
      <w:pPr>
        <w:pStyle w:val="BodyText"/>
      </w:pPr>
      <w:r>
        <w:t xml:space="preserve">With a port, you can shower, bathe, and swim without restriction</w:t>
      </w:r>
    </w:p>
    <w:p>
      <w:pPr>
        <w:pStyle w:val="BodyText"/>
      </w:pPr>
      <w:r>
        <w:t xml:space="preserve">A central venous port is suitable for FLOT chemotherapy</w:t>
      </w:r>
    </w:p>
    <w:p>
      <w:pPr>
        <w:pStyle w:val="BodyText"/>
      </w:pPr>
      <w:r>
        <w:t xml:space="preserve">A port can be used for blood draws for blood tests as well.</w:t>
      </w:r>
    </w:p>
    <w:bookmarkEnd w:id="24"/>
    <w:bookmarkStart w:id="25" w:name="central-venous-port-1"/>
    <w:p>
      <w:pPr>
        <w:pStyle w:val="Heading2"/>
      </w:pPr>
      <w:r>
        <w:t xml:space="preserve">6 Central Venous Port</w:t>
      </w:r>
    </w:p>
    <w:p>
      <w:pPr>
        <w:pStyle w:val="Compact"/>
        <w:numPr>
          <w:ilvl w:val="0"/>
          <w:numId w:val="1005"/>
        </w:numPr>
      </w:pPr>
      <w:r>
        <w:t xml:space="preserve">Placed underneath the skin below the right collarbone</w:t>
      </w:r>
    </w:p>
    <w:p>
      <w:pPr>
        <w:pStyle w:val="Compact"/>
        <w:numPr>
          <w:ilvl w:val="0"/>
          <w:numId w:val="1005"/>
        </w:numPr>
      </w:pPr>
      <w:r>
        <w:t xml:space="preserve">Incision in the neck (1/4”)</w:t>
      </w:r>
    </w:p>
    <w:p>
      <w:pPr>
        <w:pStyle w:val="Compact"/>
        <w:numPr>
          <w:ilvl w:val="0"/>
          <w:numId w:val="1005"/>
        </w:numPr>
      </w:pPr>
      <w:r>
        <w:t xml:space="preserve">Incision below the collarbone</w:t>
      </w:r>
    </w:p>
    <w:p>
      <w:pPr>
        <w:pStyle w:val="Compact"/>
        <w:numPr>
          <w:ilvl w:val="0"/>
          <w:numId w:val="1005"/>
        </w:numPr>
      </w:pPr>
      <w:r>
        <w:t xml:space="preserve">Sutures dissolve on their own</w:t>
      </w:r>
    </w:p>
    <w:p>
      <w:pPr>
        <w:pStyle w:val="Compact"/>
        <w:numPr>
          <w:ilvl w:val="0"/>
          <w:numId w:val="1005"/>
        </w:numPr>
      </w:pPr>
      <w:r>
        <w:t xml:space="preserve">“Superglue”</w:t>
      </w:r>
      <w:r>
        <w:t xml:space="preserve"> </w:t>
      </w:r>
      <w:r>
        <w:t xml:space="preserve">on incisions</w:t>
      </w:r>
    </w:p>
    <w:p>
      <w:pPr>
        <w:pStyle w:val="FirstParagraph"/>
      </w:pPr>
      <w:r>
        <w:t xml:space="preserve">A port is placed underneath the skin and usually below the right collarbone.</w:t>
      </w:r>
    </w:p>
    <w:p>
      <w:pPr>
        <w:pStyle w:val="BodyText"/>
      </w:pPr>
      <w:r>
        <w:t xml:space="preserve">Two incisions are made for placement: a quarter-inch incision over the neck,</w:t>
      </w:r>
      <w:r>
        <w:t xml:space="preserve"> </w:t>
      </w:r>
      <w:r>
        <w:t xml:space="preserve">and a one-inch incision below the collarbone.</w:t>
      </w:r>
    </w:p>
    <w:p>
      <w:pPr>
        <w:pStyle w:val="BodyText"/>
      </w:pPr>
      <w:r>
        <w:t xml:space="preserve">Sutures are under the skin and dissolve on their own</w:t>
      </w:r>
    </w:p>
    <w:p>
      <w:pPr>
        <w:pStyle w:val="BodyText"/>
      </w:pPr>
      <w:r>
        <w:t xml:space="preserve">Surgical</w:t>
      </w:r>
      <w:r>
        <w:t xml:space="preserve"> </w:t>
      </w:r>
      <w:r>
        <w:t xml:space="preserve">“Super Glue”</w:t>
      </w:r>
      <w:r>
        <w:t xml:space="preserve"> </w:t>
      </w:r>
      <w:r>
        <w:t xml:space="preserve">covers the incisions and flakes off after a week or so</w:t>
      </w:r>
    </w:p>
    <w:bookmarkEnd w:id="25"/>
    <w:bookmarkStart w:id="26" w:name="central-venous-port-2"/>
    <w:p>
      <w:pPr>
        <w:pStyle w:val="Heading2"/>
      </w:pPr>
      <w:r>
        <w:t xml:space="preserve">7 Central Venous Port</w:t>
      </w:r>
    </w:p>
    <w:p>
      <w:pPr>
        <w:pStyle w:val="FirstParagraph"/>
      </w:pPr>
      <w:r>
        <w:t xml:space="preserve">When it is time for chemotherapy, a needle is inserted through the skin into the port</w:t>
      </w:r>
    </w:p>
    <w:p>
      <w:pPr>
        <w:pStyle w:val="BodyText"/>
      </w:pPr>
      <w:r>
        <w:t xml:space="preserve">When it comes time for chemotherapy, the nurses can easily access the port with a needle that goes through the skin into the port, rather than placing an intravenous needle in a vein. The drugs can then be administered directly into the bloodstream. If blood needs to be drawn for tests, this can also be done through the port.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Central Venous Port</dc:title>
  <dc:creator/>
  <cp:keywords/>
  <dcterms:created xsi:type="dcterms:W3CDTF">2024-12-12T12:53:50Z</dcterms:created>
  <dcterms:modified xsi:type="dcterms:W3CDTF">2024-12-12T12:53:50Z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>zotero.bib</vt:lpwstr>
  </property>
  <property fmtid="{D5CDD505-2E9C-101B-9397-08002B2CF9AE}" pid="4" name="editor">
    <vt:lpwstr>visual</vt:lpwstr>
  </property>
  <property fmtid="{D5CDD505-2E9C-101B-9397-08002B2CF9AE}" pid="5" name="header-includes">
    <vt:lpwstr/>
  </property>
  <property fmtid="{D5CDD505-2E9C-101B-9397-08002B2CF9AE}" pid="6" name="include-after">
    <vt:lpwstr/>
  </property>
  <property fmtid="{D5CDD505-2E9C-101B-9397-08002B2CF9AE}" pid="7" name="include-before">
    <vt:lpwstr/>
  </property>
  <property fmtid="{D5CDD505-2E9C-101B-9397-08002B2CF9AE}" pid="8" name="labels">
    <vt:lpwstr/>
  </property>
  <property fmtid="{D5CDD505-2E9C-101B-9397-08002B2CF9AE}" pid="9" name="number-depth">
    <vt:lpwstr>3</vt:lpwstr>
  </property>
  <property fmtid="{D5CDD505-2E9C-101B-9397-08002B2CF9AE}" pid="10" name="toc-title">
    <vt:lpwstr>Table of contents</vt:lpwstr>
  </property>
</Properties>
</file>