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Central Venous Port</w:t>
      </w:r>
    </w:p>
    <w:bookmarkStart w:id="20" w:name="chemotherapy-administration"/>
    <w:p>
      <w:pPr>
        <w:pStyle w:val="Heading2"/>
      </w:pPr>
      <w:r>
        <w:t xml:space="preserve">1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 through veins:</w:t>
      </w:r>
    </w:p>
    <w:p>
      <w:pPr>
        <w:pStyle w:val="Compact"/>
        <w:numPr>
          <w:ilvl w:val="0"/>
          <w:numId w:val="1001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1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1"/>
        </w:numPr>
      </w:pPr>
      <w:r>
        <w:t xml:space="preserve">Central Venous port</w:t>
      </w:r>
    </w:p>
    <w:bookmarkEnd w:id="20"/>
    <w:bookmarkStart w:id="21" w:name="peripheral-iv-catheter"/>
    <w:p>
      <w:pPr>
        <w:pStyle w:val="Heading2"/>
      </w:pPr>
      <w:r>
        <w:t xml:space="preserve">2 Peripheral IV catheter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bookmarkEnd w:id="21"/>
    <w:bookmarkStart w:id="22" w:name="X24de4000c031f200c5dfe01452aa364022c5d0d"/>
    <w:p>
      <w:pPr>
        <w:pStyle w:val="Heading2"/>
      </w:pPr>
      <w:r>
        <w:t xml:space="preserve">3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02"/>
        </w:numPr>
      </w:pPr>
      <w:r>
        <w:t xml:space="preserve">IV catheter placed into a vein in the hand or arm</w:t>
      </w:r>
    </w:p>
    <w:p>
      <w:pPr>
        <w:pStyle w:val="Compact"/>
        <w:numPr>
          <w:ilvl w:val="0"/>
          <w:numId w:val="1002"/>
        </w:numPr>
      </w:pPr>
      <w:r>
        <w:t xml:space="preserve">Allows administration of chemotherapy and fluids</w:t>
      </w:r>
    </w:p>
    <w:p>
      <w:pPr>
        <w:pStyle w:val="Compact"/>
        <w:numPr>
          <w:ilvl w:val="0"/>
          <w:numId w:val="1002"/>
        </w:numPr>
      </w:pPr>
      <w:r>
        <w:t xml:space="preserve">Placed at the beginning of each dose</w:t>
      </w:r>
    </w:p>
    <w:p>
      <w:pPr>
        <w:pStyle w:val="Compact"/>
        <w:numPr>
          <w:ilvl w:val="0"/>
          <w:numId w:val="1002"/>
        </w:numPr>
      </w:pPr>
      <w:r>
        <w:t xml:space="preserve">Removed that day at the end of treatment</w:t>
      </w:r>
    </w:p>
    <w:p>
      <w:pPr>
        <w:pStyle w:val="Compact"/>
        <w:numPr>
          <w:ilvl w:val="0"/>
          <w:numId w:val="1002"/>
        </w:numPr>
      </w:pPr>
      <w:r>
        <w:t xml:space="preserve">Not suitable for FLOT chemotherapy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2"/>
    <w:bookmarkStart w:id="23" w:name="picc-lines"/>
    <w:p>
      <w:pPr>
        <w:pStyle w:val="Heading2"/>
      </w:pPr>
      <w:r>
        <w:t xml:space="preserve">4 PICC Lines</w:t>
      </w:r>
    </w:p>
    <w:p>
      <w:pPr>
        <w:pStyle w:val="Compact"/>
        <w:numPr>
          <w:ilvl w:val="0"/>
          <w:numId w:val="1003"/>
        </w:numPr>
      </w:pPr>
      <w:r>
        <w:t xml:space="preserve">Placed in Radiology</w:t>
      </w:r>
    </w:p>
    <w:p>
      <w:pPr>
        <w:pStyle w:val="Compact"/>
        <w:numPr>
          <w:ilvl w:val="0"/>
          <w:numId w:val="1003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03"/>
        </w:numPr>
      </w:pPr>
      <w:r>
        <w:t xml:space="preserve">Can stay in place for weeks</w:t>
      </w:r>
    </w:p>
    <w:p>
      <w:pPr>
        <w:pStyle w:val="Compact"/>
        <w:numPr>
          <w:ilvl w:val="0"/>
          <w:numId w:val="1003"/>
        </w:numPr>
      </w:pPr>
      <w:r>
        <w:t xml:space="preserve">Special care is needed at home to keep it clean and dry</w:t>
      </w:r>
    </w:p>
    <w:p>
      <w:pPr>
        <w:pStyle w:val="Compact"/>
        <w:numPr>
          <w:ilvl w:val="0"/>
          <w:numId w:val="1003"/>
        </w:numPr>
      </w:pPr>
      <w:r>
        <w:t xml:space="preserve">Suitable for FLOT chemotherapy</w:t>
      </w:r>
    </w:p>
    <w:p>
      <w:pPr>
        <w:pStyle w:val="FirstParagraph"/>
      </w:pPr>
      <w:r>
        <w:t xml:space="preserve">Special care needed at home to keep catheter and dressing clean and dry</w:t>
      </w:r>
    </w:p>
    <w:p>
      <w:pPr>
        <w:pStyle w:val="BodyText"/>
      </w:pPr>
      <w:r>
        <w:t xml:space="preserve">A PICC line is placed in Radiology and stays in place during the treatment course</w:t>
      </w:r>
      <w:r>
        <w:t xml:space="preserve"> </w:t>
      </w:r>
      <w:r>
        <w:t xml:space="preserve">Special care is needed at home to keep the catheter and it’s dressing clean and dry</w:t>
      </w:r>
    </w:p>
    <w:bookmarkEnd w:id="23"/>
    <w:bookmarkStart w:id="24" w:name="central-venous-port"/>
    <w:p>
      <w:pPr>
        <w:pStyle w:val="Heading2"/>
      </w:pPr>
      <w:r>
        <w:t xml:space="preserve">5 Central Venous Port</w:t>
      </w:r>
    </w:p>
    <w:p>
      <w:pPr>
        <w:pStyle w:val="Compact"/>
        <w:numPr>
          <w:ilvl w:val="0"/>
          <w:numId w:val="1004"/>
        </w:numPr>
      </w:pPr>
      <w:r>
        <w:t xml:space="preserve">Implantable device that makes the administration of chemotherapy easier</w:t>
      </w:r>
    </w:p>
    <w:p>
      <w:pPr>
        <w:pStyle w:val="Compact"/>
        <w:numPr>
          <w:ilvl w:val="0"/>
          <w:numId w:val="1004"/>
        </w:numPr>
      </w:pPr>
      <w:r>
        <w:t xml:space="preserve">May shower within 24 hours</w:t>
      </w:r>
    </w:p>
    <w:p>
      <w:pPr>
        <w:pStyle w:val="Compact"/>
        <w:numPr>
          <w:ilvl w:val="0"/>
          <w:numId w:val="1004"/>
        </w:numPr>
      </w:pPr>
      <w:r>
        <w:t xml:space="preserve">No special care at home</w:t>
      </w:r>
    </w:p>
    <w:p>
      <w:pPr>
        <w:pStyle w:val="Compact"/>
        <w:numPr>
          <w:ilvl w:val="0"/>
          <w:numId w:val="1004"/>
        </w:numPr>
      </w:pPr>
      <w:r>
        <w:t xml:space="preserve">Suitable for FLOT chemotherapy</w:t>
      </w:r>
    </w:p>
    <w:p>
      <w:pPr>
        <w:pStyle w:val="Compact"/>
        <w:numPr>
          <w:ilvl w:val="0"/>
          <w:numId w:val="1004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24"/>
    <w:bookmarkStart w:id="25" w:name="central-venous-port-1"/>
    <w:p>
      <w:pPr>
        <w:pStyle w:val="Heading2"/>
      </w:pPr>
      <w:r>
        <w:t xml:space="preserve">6 Central Venous Port</w:t>
      </w:r>
    </w:p>
    <w:p>
      <w:pPr>
        <w:pStyle w:val="Compact"/>
        <w:numPr>
          <w:ilvl w:val="0"/>
          <w:numId w:val="1005"/>
        </w:numPr>
      </w:pPr>
      <w:r>
        <w:t xml:space="preserve">Placed underneath the skin below the right collarbone</w:t>
      </w:r>
    </w:p>
    <w:p>
      <w:pPr>
        <w:pStyle w:val="Compact"/>
        <w:numPr>
          <w:ilvl w:val="0"/>
          <w:numId w:val="1005"/>
        </w:numPr>
      </w:pPr>
      <w:r>
        <w:t xml:space="preserve">Incision in the neck (1/4”)</w:t>
      </w:r>
    </w:p>
    <w:p>
      <w:pPr>
        <w:pStyle w:val="Compact"/>
        <w:numPr>
          <w:ilvl w:val="0"/>
          <w:numId w:val="1005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05"/>
        </w:numPr>
      </w:pPr>
      <w:r>
        <w:t xml:space="preserve">Sutures dissolve on their own</w:t>
      </w:r>
    </w:p>
    <w:p>
      <w:pPr>
        <w:pStyle w:val="Compact"/>
        <w:numPr>
          <w:ilvl w:val="0"/>
          <w:numId w:val="1005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</w:t>
      </w:r>
      <w:r>
        <w:t xml:space="preserve"> </w:t>
      </w:r>
      <w:r>
        <w:t xml:space="preserve">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25"/>
    <w:bookmarkStart w:id="26" w:name="central-venous-port-2"/>
    <w:p>
      <w:pPr>
        <w:pStyle w:val="Heading2"/>
      </w:pPr>
      <w:r>
        <w:t xml:space="preserve">7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Venous Port</dc:title>
  <dc:creator/>
  <cp:keywords/>
  <dcterms:created xsi:type="dcterms:W3CDTF">2024-12-24T17:32:04Z</dcterms:created>
  <dcterms:modified xsi:type="dcterms:W3CDTF">2024-12-24T17:32:04Z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