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</w:t>
      </w:r>
      <w:r>
        <w:t xml:space="preserve"> </w:t>
      </w:r>
      <w:r>
        <w:t xml:space="preserve">Venous</w:t>
      </w:r>
      <w:r>
        <w:t xml:space="preserve"> </w:t>
      </w:r>
      <w:r>
        <w:t xml:space="preserve">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</w:t>
      </w:r>
      <w:r>
        <w:t xml:space="preserve">IV</w:t>
      </w:r>
      <w:r>
        <w:t xml:space="preserve">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Some chemotherapy (such as FLOT) can’t be given through peripheral IV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Allows showering, bathing, swimming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</w:t>
      </w:r>
      <w:r>
        <w:t xml:space="preserve">Superglue</w:t>
      </w:r>
      <w:r>
        <w:t xml:space="preserve">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</w:t>
      </w:r>
      <w:r>
        <w:t xml:space="preserve">Super Glue</w:t>
      </w:r>
      <w:r>
        <w:t xml:space="preserve">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2024-11-13T22:51:02Z</dcterms:created>
  <dcterms:modified xsi:type="dcterms:W3CDTF">2024-11-13T22:51:02Z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