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0.1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0.2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0.3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0.4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3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3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3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0.5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4"/>
        </w:numPr>
      </w:pPr>
      <w:r>
        <w:t xml:space="preserve">Chemotherapy (FOLFOX)</w:t>
      </w:r>
    </w:p>
    <w:p>
      <w:pPr>
        <w:pStyle w:val="Compact"/>
        <w:numPr>
          <w:ilvl w:val="0"/>
          <w:numId w:val="1004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4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0.6 Goals of Therapy</w:t>
      </w:r>
    </w:p>
    <w:p>
      <w:pPr>
        <w:pStyle w:val="FirstParagraph"/>
      </w:pPr>
      <w:r>
        <w:br/>
      </w:r>
      <w:r>
        <w:br/>
      </w:r>
      <w:r>
        <w:t xml:space="preserve">- Symptom control</w:t>
      </w:r>
      <w:r>
        <w:br/>
      </w:r>
      <w:r>
        <w:br/>
      </w:r>
      <w:r>
        <w:t xml:space="preserve">- Prolong life</w:t>
      </w:r>
      <w:r>
        <w:br/>
      </w:r>
      <w:r>
        <w:br/>
      </w:r>
      <w:r>
        <w:t xml:space="preserve">- Minimize symptoms due to treatment</w:t>
      </w:r>
    </w:p>
    <w:bookmarkEnd w:id="25"/>
    <w:bookmarkStart w:id="26" w:name="systemic-therapy-1"/>
    <w:p>
      <w:pPr>
        <w:pStyle w:val="Heading2"/>
      </w:pPr>
      <w:r>
        <w:t xml:space="preserve">0.7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5"/>
        </w:numPr>
      </w:pPr>
      <w:r>
        <w:t xml:space="preserve">Can improve symptoms</w:t>
      </w:r>
    </w:p>
    <w:p>
      <w:pPr>
        <w:pStyle w:val="Compact"/>
        <w:numPr>
          <w:ilvl w:val="0"/>
          <w:numId w:val="1005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6"/>
        </w:numPr>
      </w:pPr>
      <w:r>
        <w:t xml:space="preserve">Maximize cancer shrinkage</w:t>
      </w:r>
    </w:p>
    <w:p>
      <w:pPr>
        <w:pStyle w:val="Compact"/>
        <w:numPr>
          <w:ilvl w:val="0"/>
          <w:numId w:val="1006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0.8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7"/>
        </w:numPr>
      </w:pPr>
      <w:r>
        <w:t xml:space="preserve">Bone metastasis: Can relieve pain</w:t>
      </w:r>
    </w:p>
    <w:p>
      <w:pPr>
        <w:numPr>
          <w:ilvl w:val="0"/>
          <w:numId w:val="1007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1"/>
      </w:pPr>
      <w:r>
        <w:t xml:space="preserve">1.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37" w:name="endoluminal-stent-1"/>
    <w:p>
      <w:pPr>
        <w:pStyle w:val="Heading1"/>
      </w:pPr>
      <w:r>
        <w:t xml:space="preserve">2.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Start w:id="29" w:name="endoluminal-stents"/>
    <w:p>
      <w:pPr>
        <w:pStyle w:val="Heading2"/>
      </w:pPr>
      <w:r>
        <w:t xml:space="preserve">2.1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08"/>
        </w:numPr>
      </w:pPr>
      <w:r>
        <w:t xml:space="preserve">Outpatient procedure</w:t>
      </w:r>
    </w:p>
    <w:p>
      <w:pPr>
        <w:pStyle w:val="Compact"/>
        <w:numPr>
          <w:ilvl w:val="0"/>
          <w:numId w:val="1008"/>
        </w:numPr>
      </w:pPr>
      <w:r>
        <w:t xml:space="preserve">Does not require surgery</w:t>
      </w:r>
    </w:p>
    <w:p>
      <w:pPr>
        <w:pStyle w:val="Compact"/>
        <w:numPr>
          <w:ilvl w:val="0"/>
          <w:numId w:val="1008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09"/>
        </w:numPr>
      </w:pPr>
      <w:r>
        <w:t xml:space="preserve">Discomfort</w:t>
      </w:r>
    </w:p>
    <w:p>
      <w:pPr>
        <w:pStyle w:val="Compact"/>
        <w:numPr>
          <w:ilvl w:val="0"/>
          <w:numId w:val="1009"/>
        </w:numPr>
      </w:pPr>
      <w:r>
        <w:t xml:space="preserve">Reflux</w:t>
      </w:r>
    </w:p>
    <w:p>
      <w:pPr>
        <w:pStyle w:val="Compact"/>
        <w:numPr>
          <w:ilvl w:val="0"/>
          <w:numId w:val="1009"/>
        </w:numPr>
      </w:pPr>
      <w:r>
        <w:t xml:space="preserve">Can make surgery to remove esophagus more complicated</w:t>
      </w:r>
    </w:p>
    <w:bookmarkEnd w:id="29"/>
    <w:bookmarkStart w:id="30" w:name="radiation-therapy---esophagus"/>
    <w:p>
      <w:pPr>
        <w:pStyle w:val="Heading2"/>
      </w:pPr>
      <w:r>
        <w:t xml:space="preserve">2.2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t xml:space="preserve">** Short Course **</w:t>
      </w:r>
      <w:r>
        <w:t xml:space="preserve"> </w:t>
      </w:r>
      <w:r>
        <w:t xml:space="preserve">- 10 treatments over 2 weeks</w:t>
      </w:r>
    </w:p>
    <w:p>
      <w:pPr>
        <w:pStyle w:val="BodyText"/>
      </w:pPr>
      <w:r>
        <w:t xml:space="preserve">** Conventional Dosing*</w:t>
      </w:r>
      <w:r>
        <w:t xml:space="preserve"> </w:t>
      </w:r>
      <w:r>
        <w:t xml:space="preserve">- 25-30 treatment over 5-6 weeks</w:t>
      </w:r>
    </w:p>
    <w:bookmarkEnd w:id="30"/>
    <w:bookmarkStart w:id="31" w:name="radiation-therapy---bone"/>
    <w:p>
      <w:pPr>
        <w:pStyle w:val="Heading2"/>
      </w:pPr>
      <w:r>
        <w:t xml:space="preserve">2.3 Radiation Therapy - Bone</w:t>
      </w:r>
    </w:p>
    <w:p>
      <w:pPr>
        <w:pStyle w:val="FirstParagraph"/>
      </w:pPr>
      <w:r>
        <w:br/>
      </w:r>
      <w:r>
        <w:br/>
      </w:r>
    </w:p>
    <w:p>
      <w:pPr>
        <w:pStyle w:val="BodyText"/>
      </w:pPr>
      <w:r>
        <w:t xml:space="preserve">For patients with metastasis to bone causing pain, radiation can provide pain relief wiht a relatively short (two week) treatment course</w:t>
      </w:r>
    </w:p>
    <w:bookmarkEnd w:id="31"/>
    <w:bookmarkStart w:id="33" w:name="intravenous-drug-administration"/>
    <w:p>
      <w:pPr>
        <w:pStyle w:val="Heading2"/>
      </w:pPr>
      <w:r>
        <w:t xml:space="preserve">2.4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32">
        <w:r>
          <w:rPr>
            <w:rStyle w:val="Hyperlink"/>
          </w:rPr>
          <w:t xml:space="preserve">Central Venous Port</w:t>
        </w:r>
      </w:hyperlink>
    </w:p>
    <w:bookmarkEnd w:id="33"/>
    <w:bookmarkStart w:id="34" w:name="hospice"/>
    <w:p>
      <w:pPr>
        <w:pStyle w:val="Heading2"/>
      </w:pPr>
      <w:r>
        <w:t xml:space="preserve">2.5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1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1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1"/>
        </w:numPr>
      </w:pPr>
      <w:r>
        <w:t xml:space="preserve">Hospice team manages symptoms including pain managemnt</w:t>
      </w:r>
    </w:p>
    <w:bookmarkEnd w:id="34"/>
    <w:bookmarkStart w:id="36" w:name="nutrition"/>
    <w:p>
      <w:pPr>
        <w:pStyle w:val="Heading2"/>
      </w:pPr>
      <w:r>
        <w:t xml:space="preserve">2.6 Nutrition</w:t>
      </w:r>
    </w:p>
    <w:p>
      <w:pPr>
        <w:pStyle w:val="FirstParagraph"/>
      </w:pPr>
      <w:hyperlink r:id="rId35">
        <w:r>
          <w:rPr>
            <w:rStyle w:val="Hyperlink"/>
          </w:rPr>
          <w:t xml:space="preserve">Nutrition Slideshow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lci_cvport.htm" TargetMode="External" /><Relationship Type="http://schemas.openxmlformats.org/officeDocument/2006/relationships/hyperlink" Id="rId35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lci_cvport.htm" TargetMode="External" /><Relationship Type="http://schemas.openxmlformats.org/officeDocument/2006/relationships/hyperlink" Id="rId35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2024-12-15T22:30:19Z</dcterms:created>
  <dcterms:modified xsi:type="dcterms:W3CDTF">2024-12-15T22:30:19Z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