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but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 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nutrition"/>
    <w:p>
      <w:pPr>
        <w:pStyle w:val="Heading2"/>
      </w:pPr>
      <w:r>
        <w:t xml:space="preserve">39 Nutrition</w:t>
      </w:r>
    </w:p>
    <w:p>
      <w:pPr>
        <w:pStyle w:val="FirstParagraph"/>
      </w:pPr>
      <w:hyperlink r:id="rId58">
        <w:r>
          <w:rPr>
            <w:rStyle w:val="Hyperlink"/>
          </w:rPr>
          <w:t xml:space="preserve">Nutrition Slideshow</w:t>
        </w:r>
      </w:hyperlink>
    </w:p>
    <w:bookmarkEnd w:id="59"/>
    <w:bookmarkStart w:id="61" w:name="surgery"/>
    <w:p>
      <w:pPr>
        <w:pStyle w:val="Heading2"/>
      </w:pPr>
      <w:r>
        <w:t xml:space="preserve">40 Surgery</w:t>
      </w:r>
    </w:p>
    <w:p>
      <w:pPr>
        <w:pStyle w:val="FirstParagraph"/>
      </w:pPr>
      <w:hyperlink r:id="rId60">
        <w:r>
          <w:rPr>
            <w:rStyle w:val="Hyperlink"/>
          </w:rPr>
          <w:t xml:space="preserve">Surgery Slideshow</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2024-11-12T13:50:56Z</dcterms:created>
  <dcterms:modified xsi:type="dcterms:W3CDTF">2024-11-12T13:50:56Z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