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w:t>
      </w:r>
      <w:r>
        <w:t xml:space="preserve"> </w:t>
      </w: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GE</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to different types of esophageal cancer behave the same.</w:t>
      </w:r>
    </w:p>
    <w:p>
      <w:pPr>
        <w:pStyle w:val="BodyText"/>
      </w:pPr>
      <w:r>
        <w:t xml:space="preserve">We will see later in this video, however,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wasll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The results were quite dramatic: The group that was treated with all three therapies, chemotherapy and radiation and surgery, lived on average twice a long as patients who had surgery alone.</w:t>
      </w:r>
    </w:p>
    <w:p>
      <w:pPr>
        <w:pStyle w:val="BodyText"/>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w:t>
      </w:r>
    </w:p>
    <w:p>
      <w:pPr>
        <w:pStyle w:val="BodyText"/>
      </w:pPr>
      <w:r>
        <w:t xml:space="preserve">Chemotherapy and radiation were given together over six weeks</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but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 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1"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bookmarkEnd w:id="51"/>
    <w:bookmarkStart w:id="52" w:name="peripheral-ivs"/>
    <w:p>
      <w:pPr>
        <w:pStyle w:val="Heading2"/>
      </w:pPr>
      <w:r>
        <w:t xml:space="preserve">33 Peripheral IVs</w:t>
      </w:r>
    </w:p>
    <w:p>
      <w:pPr>
        <w:pStyle w:val="FirstParagraph"/>
      </w:pPr>
      <w:r>
        <w:t xml:space="preserve">Some patients can be treated with an intravenous line placed in the hand or arm for each dose of chemotherapy. The catheter is placed at the beginning of each dose and removed that day.</w:t>
      </w:r>
    </w:p>
    <w:bookmarkEnd w:id="52"/>
    <w:bookmarkStart w:id="53" w:name="picc-lines"/>
    <w:p>
      <w:pPr>
        <w:pStyle w:val="Heading2"/>
      </w:pPr>
      <w:r>
        <w:t xml:space="preserve">34 PICC Lines</w:t>
      </w:r>
    </w:p>
    <w:p>
      <w:pPr>
        <w:pStyle w:val="FirstParagraph"/>
      </w:pPr>
      <w:r>
        <w:t xml:space="preserve">A PICC line is placed in Radiology and stays in place during the treatment course</w:t>
      </w:r>
    </w:p>
    <w:bookmarkEnd w:id="53"/>
    <w:bookmarkStart w:id="54" w:name="central-venous-port"/>
    <w:p>
      <w:pPr>
        <w:pStyle w:val="Heading2"/>
      </w:pPr>
      <w:r>
        <w:t xml:space="preserve">35 Central Venous Port</w:t>
      </w:r>
    </w:p>
    <w:p>
      <w:pPr>
        <w:pStyle w:val="FirstParagraph"/>
      </w:pPr>
      <w:r>
        <w:t xml:space="preserve">A central venous port is an implantable device that makes the administration of chemotherapy easier</w:t>
      </w:r>
    </w:p>
    <w:bookmarkEnd w:id="54"/>
    <w:bookmarkStart w:id="55" w:name="central-venous-port-1"/>
    <w:p>
      <w:pPr>
        <w:pStyle w:val="Heading2"/>
      </w:pPr>
      <w:r>
        <w:t xml:space="preserve">36 Central Venous Port</w:t>
      </w:r>
    </w:p>
    <w:p>
      <w:pPr>
        <w:pStyle w:val="FirstParagraph"/>
      </w:pPr>
      <w:r>
        <w:t xml:space="preserve">A central venous port is typically placed underneath the skin below the right collarbone</w:t>
      </w:r>
    </w:p>
    <w:bookmarkEnd w:id="55"/>
    <w:bookmarkStart w:id="56" w:name="central-venous-port-2"/>
    <w:p>
      <w:pPr>
        <w:pStyle w:val="Heading2"/>
      </w:pPr>
      <w:r>
        <w:t xml:space="preserve">37 Central Venous Port</w:t>
      </w:r>
    </w:p>
    <w:p>
      <w:pPr>
        <w:pStyle w:val="FirstParagraph"/>
      </w:pPr>
      <w:r>
        <w:t xml:space="preserve">When it is time for chemotherapy, a needle is inserted through the skin into the port</w:t>
      </w:r>
    </w:p>
    <w:bookmarkEnd w:id="56"/>
    <w:bookmarkStart w:id="57" w:name="restaging"/>
    <w:p>
      <w:pPr>
        <w:pStyle w:val="Heading2"/>
      </w:pPr>
      <w:r>
        <w:t xml:space="preserve">38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7"/>
    <w:bookmarkStart w:id="59" w:name="surgery"/>
    <w:p>
      <w:pPr>
        <w:pStyle w:val="Heading2"/>
      </w:pPr>
      <w:r>
        <w:t xml:space="preserve">39 Surgery</w:t>
      </w:r>
    </w:p>
    <w:p>
      <w:pPr>
        <w:pStyle w:val="FirstParagraph"/>
      </w:pPr>
      <w:hyperlink r:id="rId58">
        <w:r>
          <w:rPr>
            <w:rStyle w:val="Hyperlink"/>
          </w:rPr>
          <w:t xml:space="preserve">Surgery Slideshow</w:t>
        </w:r>
      </w:hyperlink>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lci_surgery2.htm" TargetMode="External" /></Relationships>
</file>

<file path=word/_rels/footnotes.xml.rels><?xml version="1.0" encoding="UTF-8"?><Relationships xmlns="http://schemas.openxmlformats.org/package/2006/relationships"><Relationship Type="http://schemas.openxmlformats.org/officeDocument/2006/relationships/hyperlink" Id="rId58" Target="lci_surgery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2024-11-12T11:58:00Z</dcterms:created>
  <dcterms:modified xsi:type="dcterms:W3CDTF">2024-11-12T11:58:00Z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