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and after surgery:</w:t>
      </w:r>
    </w:p>
    <w:p>
      <w:pPr>
        <w:pStyle w:val="BodyText"/>
      </w:pPr>
      <w:r>
        <w:t xml:space="preserve">Chemotherapy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p>
      <w:pPr>
        <w:pStyle w:val="Compact"/>
        <w:numPr>
          <w:ilvl w:val="0"/>
          <w:numId w:val="1010"/>
        </w:numPr>
      </w:pPr>
      <w:r>
        <w:t xml:space="preserve">ECF (less commonly used)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peripheral-iv-catheter"/>
    <w:p>
      <w:pPr>
        <w:pStyle w:val="Heading2"/>
      </w:pPr>
      <w:r>
        <w:t xml:space="preserve">20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39"/>
    <w:bookmarkStart w:id="40" w:name="X24de4000c031f200c5dfe01452aa364022c5d0d"/>
    <w:p>
      <w:pPr>
        <w:pStyle w:val="Heading2"/>
      </w:pPr>
      <w:r>
        <w:t xml:space="preserve">21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40"/>
    <w:bookmarkStart w:id="41" w:name="picc-lines"/>
    <w:p>
      <w:pPr>
        <w:pStyle w:val="Heading2"/>
      </w:pPr>
      <w:r>
        <w:t xml:space="preserve">22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Can stay in place for weeks</w:t>
      </w:r>
    </w:p>
    <w:p>
      <w:pPr>
        <w:pStyle w:val="Compact"/>
        <w:numPr>
          <w:ilvl w:val="0"/>
          <w:numId w:val="1016"/>
        </w:numPr>
      </w:pPr>
      <w:r>
        <w:t xml:space="preserve">Special care is needed at home to keep it clean and dry</w:t>
      </w:r>
    </w:p>
    <w:p>
      <w:pPr>
        <w:pStyle w:val="Compact"/>
        <w:numPr>
          <w:ilvl w:val="0"/>
          <w:numId w:val="1016"/>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41"/>
    <w:bookmarkStart w:id="42" w:name="central-venous-port"/>
    <w:p>
      <w:pPr>
        <w:pStyle w:val="Heading2"/>
      </w:pPr>
      <w:r>
        <w:t xml:space="preserve">23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hours</w:t>
      </w:r>
    </w:p>
    <w:p>
      <w:pPr>
        <w:pStyle w:val="Compact"/>
        <w:numPr>
          <w:ilvl w:val="0"/>
          <w:numId w:val="1017"/>
        </w:numPr>
      </w:pPr>
      <w:r>
        <w:t xml:space="preserve">No special care at home</w:t>
      </w:r>
    </w:p>
    <w:p>
      <w:pPr>
        <w:pStyle w:val="Compact"/>
        <w:numPr>
          <w:ilvl w:val="0"/>
          <w:numId w:val="1017"/>
        </w:numPr>
      </w:pPr>
      <w:r>
        <w:t xml:space="preserve">Suitable for FLOT chemotherapy</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2"/>
    <w:bookmarkStart w:id="43" w:name="central-venous-port-1"/>
    <w:p>
      <w:pPr>
        <w:pStyle w:val="Heading2"/>
      </w:pPr>
      <w:r>
        <w:t xml:space="preserve">24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3"/>
    <w:bookmarkStart w:id="44" w:name="central-venous-port-2"/>
    <w:p>
      <w:pPr>
        <w:pStyle w:val="Heading2"/>
      </w:pPr>
      <w:r>
        <w:t xml:space="preserve">25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4"/>
    <w:bookmarkStart w:id="45" w:name="restaging"/>
    <w:p>
      <w:pPr>
        <w:pStyle w:val="Heading2"/>
      </w:pPr>
      <w:r>
        <w:t xml:space="preserve">26 Restaging</w:t>
      </w:r>
    </w:p>
    <w:p>
      <w:pPr>
        <w:pStyle w:val="FirstParagraph"/>
      </w:pPr>
      <w:r>
        <w:t xml:space="preserve">CT or PET scan performed after preoperative therapy</w:t>
      </w:r>
    </w:p>
    <w:p>
      <w:pPr>
        <w:pStyle w:val="BodyText"/>
      </w:pPr>
      <w:r>
        <w:br/>
      </w: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5"/>
    <w:bookmarkStart w:id="46" w:name="preparing-for-cancer-treatment"/>
    <w:p>
      <w:pPr>
        <w:pStyle w:val="Heading2"/>
      </w:pPr>
      <w:r>
        <w:t xml:space="preserve">27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p>
      <w:pPr>
        <w:pStyle w:val="Compact"/>
        <w:numPr>
          <w:ilvl w:val="0"/>
          <w:numId w:val="1020"/>
        </w:numPr>
      </w:pPr>
      <w:r>
        <w:t xml:space="preserve">Nutrition</w:t>
      </w:r>
    </w:p>
    <w:bookmarkEnd w:id="46"/>
    <w:bookmarkStart w:id="47" w:name="primary-care-physician"/>
    <w:p>
      <w:pPr>
        <w:pStyle w:val="Heading2"/>
      </w:pPr>
      <w:r>
        <w:t xml:space="preserve">28 Primary Care Physician</w:t>
      </w:r>
    </w:p>
    <w:bookmarkEnd w:id="47"/>
    <w:bookmarkStart w:id="48" w:name="my-atrium-patient-portal"/>
    <w:p>
      <w:pPr>
        <w:pStyle w:val="Heading2"/>
      </w:pPr>
      <w:r>
        <w:t xml:space="preserve">29 My Atrium Patient Portal</w:t>
      </w:r>
    </w:p>
    <w:bookmarkEnd w:id="48"/>
    <w:bookmarkStart w:id="49" w:name="exercise"/>
    <w:p>
      <w:pPr>
        <w:pStyle w:val="Heading2"/>
      </w:pPr>
      <w:r>
        <w:t xml:space="preserve">30 Exercise</w:t>
      </w:r>
    </w:p>
    <w:bookmarkEnd w:id="49"/>
    <w:bookmarkStart w:id="50" w:name="smoking-cessation"/>
    <w:p>
      <w:pPr>
        <w:pStyle w:val="Heading2"/>
      </w:pPr>
      <w:r>
        <w:t xml:space="preserve">31 Smoking Cessation</w:t>
      </w:r>
    </w:p>
    <w:bookmarkEnd w:id="50"/>
    <w:bookmarkStart w:id="51" w:name="gi-tract-anatomy"/>
    <w:p>
      <w:pPr>
        <w:pStyle w:val="Heading2"/>
      </w:pPr>
      <w:r>
        <w:t xml:space="preserve">32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1"/>
    <w:bookmarkStart w:id="52" w:name="protein-needs"/>
    <w:p>
      <w:pPr>
        <w:pStyle w:val="Heading2"/>
      </w:pPr>
      <w:r>
        <w:t xml:space="preserve">33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2"/>
    <w:bookmarkStart w:id="53" w:name="protein-shakes"/>
    <w:p>
      <w:pPr>
        <w:pStyle w:val="Heading2"/>
      </w:pPr>
      <w:r>
        <w:t xml:space="preserve">34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3"/>
    <w:bookmarkStart w:id="54" w:name="feeding-tubes"/>
    <w:p>
      <w:pPr>
        <w:pStyle w:val="Heading2"/>
      </w:pPr>
      <w:r>
        <w:t xml:space="preserve">35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4"/>
    <w:bookmarkStart w:id="55" w:name="gastrostomy-tube"/>
    <w:p>
      <w:pPr>
        <w:pStyle w:val="Heading2"/>
      </w:pPr>
      <w:r>
        <w:t xml:space="preserve">36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55"/>
    <w:bookmarkStart w:id="56" w:name="gastrostomy-tube-methods"/>
    <w:p>
      <w:pPr>
        <w:pStyle w:val="Heading2"/>
      </w:pPr>
      <w:r>
        <w:t xml:space="preserve">37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6"/>
    <w:bookmarkStart w:id="57" w:name="gastrostomy-tube-1"/>
    <w:p>
      <w:pPr>
        <w:pStyle w:val="Heading2"/>
      </w:pPr>
      <w:r>
        <w:t xml:space="preserve">38 Gastrostomy Tube</w:t>
      </w:r>
    </w:p>
    <w:p>
      <w:pPr>
        <w:pStyle w:val="Compact"/>
        <w:numPr>
          <w:ilvl w:val="0"/>
          <w:numId w:val="1023"/>
        </w:numPr>
      </w:pPr>
      <w:r>
        <w:t xml:space="preserve">Outpatient Placement (go home the same day)</w:t>
      </w:r>
    </w:p>
    <w:p>
      <w:pPr>
        <w:pStyle w:val="Compact"/>
        <w:numPr>
          <w:ilvl w:val="0"/>
          <w:numId w:val="1023"/>
        </w:numPr>
      </w:pPr>
      <w:r>
        <w:t xml:space="preserve">Central venous port can be placed at the same time (if needed)</w:t>
      </w:r>
    </w:p>
    <w:bookmarkEnd w:id="57"/>
    <w:bookmarkStart w:id="58" w:name="jejunostomy-tube"/>
    <w:p>
      <w:pPr>
        <w:pStyle w:val="Heading2"/>
      </w:pPr>
      <w:r>
        <w:t xml:space="preserve">39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8"/>
    <w:bookmarkStart w:id="59" w:name="jejunostomy"/>
    <w:p>
      <w:pPr>
        <w:pStyle w:val="Heading2"/>
      </w:pPr>
      <w:r>
        <w:t xml:space="preserve">40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2025-01-07T13:37:47Z</dcterms:created>
  <dcterms:modified xsi:type="dcterms:W3CDTF">2025-01-07T13:37:47Z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