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Lymph nodes not removed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3"/>
        </w:numPr>
      </w:pPr>
      <w:r>
        <w:t xml:space="preserve">General anesthetic</w:t>
      </w:r>
    </w:p>
    <w:p>
      <w:pPr>
        <w:pStyle w:val="Compact"/>
        <w:numPr>
          <w:ilvl w:val="0"/>
          <w:numId w:val="1043"/>
        </w:numPr>
      </w:pPr>
      <w:r>
        <w:t xml:space="preserve">Several 1/4” incisions</w:t>
      </w:r>
    </w:p>
    <w:p>
      <w:pPr>
        <w:pStyle w:val="Compact"/>
        <w:numPr>
          <w:ilvl w:val="0"/>
          <w:numId w:val="104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3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4"/>
        </w:numPr>
      </w:pPr>
      <w:r>
        <w:t xml:space="preserve">Delayed stomach function</w:t>
      </w:r>
    </w:p>
    <w:p>
      <w:pPr>
        <w:pStyle w:val="Compact"/>
        <w:numPr>
          <w:ilvl w:val="0"/>
          <w:numId w:val="1044"/>
        </w:numPr>
      </w:pPr>
      <w:r>
        <w:t xml:space="preserve">Infection in the abdomen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2025-07-12T16:53:28Z</dcterms:created>
  <dcterms:modified xsi:type="dcterms:W3CDTF">2025-07-12T16:53:28Z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