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feeding-pump"/>
    <w:p>
      <w:pPr>
        <w:pStyle w:val="Heading2"/>
      </w:pPr>
      <w:r>
        <w:t xml:space="preserve">57 Jejunostomy Feeding Pump</w:t>
      </w:r>
    </w:p>
    <w:bookmarkEnd w:id="65"/>
    <w:bookmarkStart w:id="66" w:name="jejunostomy-typical-regimen"/>
    <w:p>
      <w:pPr>
        <w:pStyle w:val="Heading2"/>
      </w:pPr>
      <w:r>
        <w:t xml:space="preserve">58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6"/>
    <w:bookmarkStart w:id="67" w:name="jejunostomy-feeds-with-diabetes"/>
    <w:p>
      <w:pPr>
        <w:pStyle w:val="Heading2"/>
      </w:pPr>
      <w:r>
        <w:t xml:space="preserve">59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7"/>
    <w:bookmarkStart w:id="68" w:name="jejunostomy-video"/>
    <w:p>
      <w:pPr>
        <w:pStyle w:val="Heading2"/>
      </w:pPr>
      <w:r>
        <w:t xml:space="preserve">60 Jejunostomy Video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2026-09-26T07:12:05Z</dcterms:created>
  <dcterms:modified xsi:type="dcterms:W3CDTF">2026-09-26T07:12:05Z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