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3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4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5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6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7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7"/>
        </w:numPr>
      </w:pPr>
      <w:r>
        <w:t xml:space="preserve">Metastatic cancers are M1 and are treated primary by chemotherapy.</w:t>
      </w:r>
    </w:p>
    <w:bookmarkEnd w:id="26"/>
    <w:bookmarkStart w:id="27" w:name="locally-advanced-cancers-1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7"/>
    <w:bookmarkStart w:id="28" w:name="locally-advanced-cancers-2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8"/>
    <w:bookmarkStart w:id="29" w:name="locally-advanced-cancers-3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9"/>
    <w:bookmarkStart w:id="30" w:name="preoperative-therapy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1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2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surgery-after-preoperative-therapy"/>
    <w:p>
      <w:pPr>
        <w:pStyle w:val="Heading2"/>
      </w:pPr>
      <w:r>
        <w:t xml:space="preserve">25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3"/>
    <w:bookmarkStart w:id="34" w:name="preoperative-therapy-3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preoperative-therapy-4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chemotherapy-radiation-cross-trial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6"/>
    <w:bookmarkStart w:id="37" w:name="chemotherapy-radiation-cross-trial-1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7"/>
    <w:bookmarkStart w:id="38" w:name="chemo-radiation-cross-trial"/>
    <w:p>
      <w:pPr>
        <w:pStyle w:val="Heading2"/>
      </w:pPr>
      <w:r>
        <w:t xml:space="preserve">30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20"/>
        </w:numPr>
      </w:pPr>
      <w:r>
        <w:t xml:space="preserve">Surgery 8 weeks after the end of radiation</w:t>
      </w:r>
    </w:p>
    <w:bookmarkEnd w:id="38"/>
    <w:bookmarkStart w:id="39" w:name="chemo-radiation---side-effects"/>
    <w:p>
      <w:pPr>
        <w:pStyle w:val="Heading2"/>
      </w:pPr>
      <w:r>
        <w:t xml:space="preserve">31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21"/>
        </w:numPr>
      </w:pPr>
      <w:r>
        <w:t xml:space="preserve">FLOT (more effective)</w:t>
      </w:r>
    </w:p>
    <w:p>
      <w:pPr>
        <w:pStyle w:val="Compact"/>
        <w:numPr>
          <w:ilvl w:val="0"/>
          <w:numId w:val="1022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3"/>
        </w:numPr>
      </w:pPr>
      <w:r>
        <w:t xml:space="preserve">5-FU</w:t>
      </w:r>
    </w:p>
    <w:p>
      <w:pPr>
        <w:pStyle w:val="Compact"/>
        <w:numPr>
          <w:ilvl w:val="0"/>
          <w:numId w:val="1023"/>
        </w:numPr>
      </w:pPr>
      <w:r>
        <w:t xml:space="preserve">Leucovorion</w:t>
      </w:r>
    </w:p>
    <w:p>
      <w:pPr>
        <w:pStyle w:val="Compact"/>
        <w:numPr>
          <w:ilvl w:val="0"/>
          <w:numId w:val="1023"/>
        </w:numPr>
      </w:pPr>
      <w:r>
        <w:t xml:space="preserve">Oxaliplatin</w:t>
      </w:r>
    </w:p>
    <w:p>
      <w:pPr>
        <w:pStyle w:val="Compact"/>
        <w:numPr>
          <w:ilvl w:val="0"/>
          <w:numId w:val="1023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4"/>
        </w:numPr>
      </w:pPr>
      <w:r>
        <w:t xml:space="preserve">5-FU</w:t>
      </w:r>
    </w:p>
    <w:p>
      <w:pPr>
        <w:pStyle w:val="Compact"/>
        <w:numPr>
          <w:ilvl w:val="0"/>
          <w:numId w:val="1024"/>
        </w:numPr>
      </w:pPr>
      <w:r>
        <w:t xml:space="preserve">Leucovorin</w:t>
      </w:r>
    </w:p>
    <w:p>
      <w:pPr>
        <w:pStyle w:val="Compact"/>
        <w:numPr>
          <w:ilvl w:val="0"/>
          <w:numId w:val="1024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Compact"/>
        <w:numPr>
          <w:ilvl w:val="0"/>
          <w:numId w:val="1026"/>
        </w:numPr>
      </w:pPr>
      <w:r>
        <w:t xml:space="preserve">Surgery (4-6 weeks later)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Surgery (4-6 weeks later)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8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8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8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Chemo + Radiation (6wk)</w:t>
      </w:r>
    </w:p>
    <w:p>
      <w:pPr>
        <w:pStyle w:val="Compact"/>
        <w:numPr>
          <w:ilvl w:val="0"/>
          <w:numId w:val="1029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p>
      <w:pPr>
        <w:pStyle w:val="Compact"/>
        <w:numPr>
          <w:ilvl w:val="0"/>
          <w:numId w:val="1030"/>
        </w:numPr>
      </w:pPr>
      <w:r>
        <w:t xml:space="preserve">Surgery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bookmarkEnd w:id="47"/>
    <w:bookmarkStart w:id="48" w:name="adenocarcinoma-treatment-options-1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31"/>
        </w:numPr>
      </w:pPr>
      <w:r>
        <w:t xml:space="preserve">Longer track record</w:t>
      </w:r>
    </w:p>
    <w:p>
      <w:pPr>
        <w:pStyle w:val="Compact"/>
        <w:numPr>
          <w:ilvl w:val="0"/>
          <w:numId w:val="1031"/>
        </w:numPr>
      </w:pPr>
      <w:r>
        <w:t xml:space="preserve">Better tolerated</w:t>
      </w:r>
    </w:p>
    <w:p>
      <w:pPr>
        <w:pStyle w:val="Compact"/>
        <w:numPr>
          <w:ilvl w:val="0"/>
          <w:numId w:val="1031"/>
        </w:numPr>
      </w:pPr>
      <w:r>
        <w:t xml:space="preserve">Port usually placed</w:t>
      </w:r>
    </w:p>
    <w:p>
      <w:pPr>
        <w:pStyle w:val="Compact"/>
        <w:numPr>
          <w:ilvl w:val="0"/>
          <w:numId w:val="1031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31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2"/>
        </w:numPr>
      </w:pPr>
      <w:r>
        <w:t xml:space="preserve">More effective</w:t>
      </w:r>
    </w:p>
    <w:p>
      <w:pPr>
        <w:pStyle w:val="Compact"/>
        <w:numPr>
          <w:ilvl w:val="0"/>
          <w:numId w:val="1032"/>
        </w:numPr>
      </w:pPr>
      <w:r>
        <w:t xml:space="preserve">More side effects</w:t>
      </w:r>
    </w:p>
    <w:p>
      <w:pPr>
        <w:pStyle w:val="Compact"/>
        <w:numPr>
          <w:ilvl w:val="0"/>
          <w:numId w:val="1032"/>
        </w:numPr>
      </w:pPr>
      <w:r>
        <w:t xml:space="preserve">Port always required</w:t>
      </w:r>
    </w:p>
    <w:p>
      <w:pPr>
        <w:pStyle w:val="Compact"/>
        <w:numPr>
          <w:ilvl w:val="0"/>
          <w:numId w:val="1032"/>
        </w:numPr>
      </w:pPr>
      <w:r>
        <w:t xml:space="preserve">Eating slowly improves</w:t>
      </w:r>
    </w:p>
    <w:p>
      <w:pPr>
        <w:pStyle w:val="Compact"/>
        <w:numPr>
          <w:ilvl w:val="0"/>
          <w:numId w:val="1032"/>
        </w:numPr>
      </w:pPr>
      <w:r>
        <w:t xml:space="preserve">Less likely to need feeding tube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3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4"/>
        </w:numPr>
      </w:pPr>
      <w:r>
        <w:t xml:space="preserve">Placed for each dose</w:t>
      </w:r>
    </w:p>
    <w:p>
      <w:pPr>
        <w:pStyle w:val="Compact"/>
        <w:numPr>
          <w:ilvl w:val="0"/>
          <w:numId w:val="1034"/>
        </w:numPr>
      </w:pPr>
      <w:r>
        <w:t xml:space="preserve">Removed that day</w:t>
      </w:r>
    </w:p>
    <w:p>
      <w:pPr>
        <w:pStyle w:val="Compact"/>
        <w:numPr>
          <w:ilvl w:val="0"/>
          <w:numId w:val="103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5"/>
        </w:numPr>
      </w:pPr>
      <w:r>
        <w:t xml:space="preserve">May shower in 24 hrs</w:t>
      </w:r>
    </w:p>
    <w:p>
      <w:pPr>
        <w:pStyle w:val="Compact"/>
        <w:numPr>
          <w:ilvl w:val="0"/>
          <w:numId w:val="1035"/>
        </w:numPr>
      </w:pPr>
      <w:r>
        <w:t xml:space="preserve">No special care at home</w:t>
      </w:r>
    </w:p>
    <w:p>
      <w:pPr>
        <w:pStyle w:val="Compact"/>
        <w:numPr>
          <w:ilvl w:val="0"/>
          <w:numId w:val="1035"/>
        </w:numPr>
      </w:pPr>
      <w:r>
        <w:t xml:space="preserve">OK for FLOT chemo</w:t>
      </w:r>
    </w:p>
    <w:p>
      <w:pPr>
        <w:pStyle w:val="Compact"/>
        <w:numPr>
          <w:ilvl w:val="0"/>
          <w:numId w:val="103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6"/>
        </w:numPr>
      </w:pPr>
      <w:r>
        <w:t xml:space="preserve">Implanted under skin</w:t>
      </w:r>
    </w:p>
    <w:p>
      <w:pPr>
        <w:pStyle w:val="Compact"/>
        <w:numPr>
          <w:ilvl w:val="0"/>
          <w:numId w:val="1036"/>
        </w:numPr>
      </w:pPr>
      <w:r>
        <w:t xml:space="preserve">Neck incision (1/4”)</w:t>
      </w:r>
    </w:p>
    <w:p>
      <w:pPr>
        <w:pStyle w:val="Compact"/>
        <w:numPr>
          <w:ilvl w:val="0"/>
          <w:numId w:val="103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6"/>
        </w:numPr>
      </w:pPr>
      <w:r>
        <w:t xml:space="preserve">Sutures dissolve</w:t>
      </w:r>
    </w:p>
    <w:p>
      <w:pPr>
        <w:pStyle w:val="Compact"/>
        <w:numPr>
          <w:ilvl w:val="0"/>
          <w:numId w:val="103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7"/>
        </w:numPr>
      </w:pPr>
      <w:r>
        <w:t xml:space="preserve">Timing depends upon recovery from therapy</w:t>
      </w:r>
    </w:p>
    <w:bookmarkEnd w:id="54"/>
    <w:bookmarkStart w:id="55" w:name="primary-care-practitioner-pcp"/>
    <w:p>
      <w:pPr>
        <w:pStyle w:val="Heading2"/>
      </w:pPr>
      <w:r>
        <w:t xml:space="preserve">47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5"/>
    <w:bookmarkStart w:id="56" w:name="my-atrium-patient-portal"/>
    <w:p>
      <w:pPr>
        <w:pStyle w:val="Heading2"/>
      </w:pPr>
      <w:r>
        <w:t xml:space="preserve">48 My Atrium Patient Portal</w:t>
      </w:r>
    </w:p>
    <w:p>
      <w:pPr>
        <w:pStyle w:val="Compact"/>
        <w:numPr>
          <w:ilvl w:val="0"/>
          <w:numId w:val="1038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8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8"/>
        </w:numPr>
      </w:pPr>
      <w:r>
        <w:t xml:space="preserve">Sign up at my.atriumhealth.org</w:t>
      </w:r>
    </w:p>
    <w:bookmarkEnd w:id="56"/>
    <w:bookmarkStart w:id="57" w:name="exercise"/>
    <w:p>
      <w:pPr>
        <w:pStyle w:val="Heading2"/>
      </w:pPr>
      <w:r>
        <w:t xml:space="preserve">49 Exercise</w:t>
      </w:r>
    </w:p>
    <w:p>
      <w:pPr>
        <w:pStyle w:val="Compact"/>
        <w:numPr>
          <w:ilvl w:val="0"/>
          <w:numId w:val="1039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9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40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40"/>
        </w:numPr>
      </w:pPr>
      <w:r>
        <w:t xml:space="preserve">Start slowly and build up</w:t>
      </w:r>
    </w:p>
    <w:p>
      <w:pPr>
        <w:pStyle w:val="Compact"/>
        <w:numPr>
          <w:ilvl w:val="1"/>
          <w:numId w:val="1040"/>
        </w:numPr>
      </w:pPr>
      <w:r>
        <w:t xml:space="preserve">Every day counts! (Aim for daily activity)</w:t>
      </w:r>
    </w:p>
    <w:bookmarkEnd w:id="57"/>
    <w:bookmarkStart w:id="58" w:name="smoking-cessation"/>
    <w:p>
      <w:pPr>
        <w:pStyle w:val="Heading2"/>
      </w:pPr>
      <w:r>
        <w:t xml:space="preserve">50 Smoking Cessation</w:t>
      </w:r>
    </w:p>
    <w:p>
      <w:pPr>
        <w:pStyle w:val="Compact"/>
        <w:numPr>
          <w:ilvl w:val="0"/>
          <w:numId w:val="1041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2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1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3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3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3"/>
        </w:numPr>
      </w:pPr>
      <w:r>
        <w:t xml:space="preserve">Smoking Cessation Counseling (Metro Charlotte)</w:t>
      </w:r>
    </w:p>
    <w:bookmarkEnd w:id="58"/>
    <w:bookmarkStart w:id="59" w:name="protein-needs"/>
    <w:p>
      <w:pPr>
        <w:pStyle w:val="Heading2"/>
      </w:pPr>
      <w:r>
        <w:t xml:space="preserve">51 Protein Needs</w:t>
      </w:r>
    </w:p>
    <w:bookmarkEnd w:id="59"/>
    <w:bookmarkStart w:id="60" w:name="feeding-tubes"/>
    <w:p>
      <w:pPr>
        <w:pStyle w:val="Heading2"/>
      </w:pPr>
      <w:r>
        <w:t xml:space="preserve">52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4"/>
        </w:numPr>
      </w:pPr>
      <w:r>
        <w:t xml:space="preserve">Jejunostomy tubes are placed in the small intestine</w:t>
      </w:r>
    </w:p>
    <w:p>
      <w:pPr>
        <w:numPr>
          <w:ilvl w:val="0"/>
          <w:numId w:val="1044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0"/>
    <w:bookmarkStart w:id="61" w:name="gastrostomy-tube"/>
    <w:p>
      <w:pPr>
        <w:pStyle w:val="Heading2"/>
      </w:pPr>
      <w:r>
        <w:t xml:space="preserve">53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5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5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5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5"/>
        </w:numPr>
      </w:pPr>
      <w:r>
        <w:t xml:space="preserve">Removed easily in the office when no longer needed</w:t>
      </w:r>
    </w:p>
    <w:bookmarkEnd w:id="61"/>
    <w:bookmarkStart w:id="62" w:name="gastrostomy-tube-methods"/>
    <w:p>
      <w:pPr>
        <w:pStyle w:val="Heading2"/>
      </w:pPr>
      <w:r>
        <w:t xml:space="preserve">54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2"/>
    <w:bookmarkStart w:id="63" w:name="gastrostomy-tube-1"/>
    <w:p>
      <w:pPr>
        <w:pStyle w:val="Heading2"/>
      </w:pPr>
      <w:r>
        <w:t xml:space="preserve">55 Gastrostomy Tube</w:t>
      </w:r>
    </w:p>
    <w:p>
      <w:pPr>
        <w:pStyle w:val="Compact"/>
        <w:numPr>
          <w:ilvl w:val="0"/>
          <w:numId w:val="1046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6"/>
        </w:numPr>
      </w:pPr>
      <w:r>
        <w:t xml:space="preserve">Central venous port can be placed at the same time (if needed)</w:t>
      </w:r>
    </w:p>
    <w:bookmarkEnd w:id="63"/>
    <w:bookmarkStart w:id="64" w:name="jejunostomy-tube"/>
    <w:p>
      <w:pPr>
        <w:pStyle w:val="Heading2"/>
      </w:pPr>
      <w:r>
        <w:t xml:space="preserve">56 Jejunostomy Tube</w:t>
      </w:r>
    </w:p>
    <w:bookmarkEnd w:id="64"/>
    <w:bookmarkStart w:id="65" w:name="jejunostomy-typical-regimen"/>
    <w:p>
      <w:pPr>
        <w:pStyle w:val="Heading2"/>
      </w:pPr>
      <w:r>
        <w:t xml:space="preserve">57 Jejunostomy Typical Regimen</w:t>
      </w:r>
    </w:p>
    <w:p>
      <w:pPr>
        <w:pStyle w:val="Compact"/>
        <w:numPr>
          <w:ilvl w:val="0"/>
          <w:numId w:val="1047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8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8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7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5"/>
    <w:bookmarkStart w:id="66" w:name="jejunostomy-feeds-with-diabetes"/>
    <w:p>
      <w:pPr>
        <w:pStyle w:val="Heading2"/>
      </w:pPr>
      <w:r>
        <w:t xml:space="preserve">58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9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0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0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0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0"/>
        </w:numPr>
      </w:pPr>
      <w:r>
        <w:t xml:space="preserve">No insulin if tube feedings are not run</w:t>
      </w:r>
    </w:p>
    <w:bookmarkEnd w:id="66"/>
    <w:bookmarkStart w:id="67" w:name="jejunostomy-video"/>
    <w:p>
      <w:pPr>
        <w:pStyle w:val="Heading2"/>
      </w:pPr>
      <w:r>
        <w:t xml:space="preserve">59 Jejunostomy Video</w:t>
      </w:r>
    </w:p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2026-08-09T20:58:31Z</dcterms:created>
  <dcterms:modified xsi:type="dcterms:W3CDTF">2026-08-09T20:58:31Z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