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3.png" ContentType="image/png"/>
  <Override PartName="/word/media/rId110.png" ContentType="image/png"/>
  <Override PartName="/word/media/rId120.png" ContentType="image/png"/>
  <Override PartName="/word/media/rId102.png" ContentType="image/png"/>
  <Override PartName="/word/media/rId95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99.png" ContentType="image/png"/>
  <Override PartName="/word/media/rId91.png" ContentType="image/png"/>
  <Override PartName="/word/media/rId87.png" ContentType="image/png"/>
  <Override PartName="/word/media/rId125.png" ContentType="image/png"/>
  <Override PartName="/word/media/rId128.png" ContentType="image/png"/>
  <Override PartName="/word/media/rId15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10"/>
    <w:bookmarkStart w:id="11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1"/>
    <w:bookmarkStart w:id="12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2"/>
    <w:bookmarkStart w:id="13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3"/>
    <w:bookmarkStart w:id="14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4"/>
    <w:bookmarkStart w:id="15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5"/>
    <w:bookmarkStart w:id="16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6"/>
    <w:bookmarkStart w:id="17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7"/>
    <w:bookmarkStart w:id="18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8"/>
    <w:bookmarkStart w:id="19" w:name="carcinomatosis-m1"/>
    <w:p>
      <w:pPr>
        <w:pStyle w:val="Heading2"/>
      </w:pPr>
      <w:r>
        <w:t xml:space="preserve">11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9"/>
    <w:bookmarkStart w:id="20" w:name="pet-scan"/>
    <w:p>
      <w:pPr>
        <w:pStyle w:val="Heading2"/>
      </w:pPr>
      <w:r>
        <w:t xml:space="preserve">12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0"/>
    <w:bookmarkStart w:id="21" w:name="pet-scan-preparation"/>
    <w:p>
      <w:pPr>
        <w:pStyle w:val="Heading2"/>
      </w:pPr>
      <w:r>
        <w:t xml:space="preserve">13 PET scan Preparation</w:t>
      </w:r>
    </w:p>
    <w:p>
      <w:pPr>
        <w:numPr>
          <w:ilvl w:val="0"/>
          <w:numId w:val="1007"/>
        </w:numPr>
      </w:pPr>
      <w:r>
        <w:t xml:space="preserve">Nothing to eat or drink for 4 hours prior to exam</w:t>
      </w:r>
    </w:p>
    <w:p>
      <w:pPr>
        <w:numPr>
          <w:ilvl w:val="0"/>
          <w:numId w:val="1007"/>
        </w:numPr>
      </w:pPr>
      <w:r>
        <w:t xml:space="preserve">High-protein low-carbohydrate diet the day prior</w:t>
      </w:r>
    </w:p>
    <w:p>
      <w:pPr>
        <w:numPr>
          <w:ilvl w:val="0"/>
          <w:numId w:val="1007"/>
        </w:numPr>
      </w:pPr>
      <w:r>
        <w:t xml:space="preserve">No strenous activity day prior to study</w:t>
      </w:r>
    </w:p>
    <w:bookmarkEnd w:id="21"/>
    <w:bookmarkStart w:id="22" w:name="pet-scan-prepration---diabetic-patients"/>
    <w:p>
      <w:pPr>
        <w:pStyle w:val="Heading2"/>
      </w:pPr>
      <w:r>
        <w:t xml:space="preserve">14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8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8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8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8"/>
        </w:numPr>
      </w:pPr>
      <w:r>
        <w:t xml:space="preserve">Plan to eat a meal after the PET scan, with half the usual morning dose of insulin</w:t>
      </w:r>
    </w:p>
    <w:bookmarkEnd w:id="22"/>
    <w:bookmarkStart w:id="23" w:name="Xf350099f6d659e07cb2f27fc37620fedaa63615"/>
    <w:p>
      <w:pPr>
        <w:pStyle w:val="Heading2"/>
      </w:pPr>
      <w:r>
        <w:t xml:space="preserve">15 PET scan Prepration - Diabetic Patients</w:t>
      </w:r>
    </w:p>
    <w:p>
      <w:pPr>
        <w:pStyle w:val="Compact"/>
        <w:numPr>
          <w:ilvl w:val="0"/>
          <w:numId w:val="1009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10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10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9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9"/>
        </w:numPr>
      </w:pPr>
      <w:r>
        <w:t xml:space="preserve">Insulin pump: turn it off 4 hours before the study (or turn it down to basal/night-time rate)</w:t>
      </w:r>
    </w:p>
    <w:bookmarkEnd w:id="23"/>
    <w:bookmarkStart w:id="24" w:name="endoscopic-ultrasound"/>
    <w:p>
      <w:pPr>
        <w:pStyle w:val="Heading2"/>
      </w:pPr>
      <w:r>
        <w:t xml:space="preserve">16 Endoscopic Ultrasound</w:t>
      </w:r>
    </w:p>
    <w:p>
      <w:pPr>
        <w:pStyle w:val="Compact"/>
        <w:numPr>
          <w:ilvl w:val="0"/>
          <w:numId w:val="1011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1"/>
        </w:numPr>
      </w:pPr>
      <w:r>
        <w:t xml:space="preserve">Ultrasound in scope</w:t>
      </w:r>
    </w:p>
    <w:p>
      <w:pPr>
        <w:pStyle w:val="Compact"/>
        <w:numPr>
          <w:ilvl w:val="0"/>
          <w:numId w:val="1011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4"/>
    <w:bookmarkStart w:id="25" w:name="laparoscopy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6"/>
    <w:bookmarkStart w:id="27" w:name="treatment-plan"/>
    <w:p>
      <w:pPr>
        <w:pStyle w:val="Heading2"/>
      </w:pPr>
      <w:r>
        <w:t xml:space="preserve">19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4"/>
        </w:numPr>
      </w:pPr>
      <w:r>
        <w:t xml:space="preserve">Metastatic cancers are M1 and are treated primary by chemotherapy.</w:t>
      </w:r>
    </w:p>
    <w:bookmarkEnd w:id="27"/>
    <w:bookmarkStart w:id="28" w:name="locally-advanced-cancers-1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8"/>
    <w:bookmarkStart w:id="29" w:name="locally-advanced-cancers-2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9"/>
    <w:bookmarkStart w:id="30" w:name="locally-advanced-cancers-3"/>
    <w:p>
      <w:pPr>
        <w:pStyle w:val="Heading2"/>
      </w:pPr>
      <w:r>
        <w:t xml:space="preserve">22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0"/>
    <w:bookmarkStart w:id="31" w:name="preoperative-therapy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1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preoperative-therapy-2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3"/>
    <w:bookmarkStart w:id="34" w:name="surgery-after-preoperative-therapy"/>
    <w:p>
      <w:pPr>
        <w:pStyle w:val="Heading2"/>
      </w:pPr>
      <w:r>
        <w:t xml:space="preserve">26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4"/>
    <w:bookmarkStart w:id="35" w:name="preoperative-therapy-3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preoperative-therapy-4"/>
    <w:p>
      <w:pPr>
        <w:pStyle w:val="Heading2"/>
      </w:pPr>
      <w:r>
        <w:t xml:space="preserve">28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6"/>
    <w:bookmarkStart w:id="37" w:name="chemotherapy-radiation-cross-trial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7"/>
    <w:bookmarkStart w:id="38" w:name="chemotherapy-radiation-cross-trial-1"/>
    <w:p>
      <w:pPr>
        <w:pStyle w:val="Heading2"/>
      </w:pPr>
      <w:r>
        <w:t xml:space="preserve">30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8"/>
    <w:bookmarkStart w:id="39" w:name="chemo-radiation-cross-trial"/>
    <w:p>
      <w:pPr>
        <w:pStyle w:val="Heading2"/>
      </w:pPr>
      <w:r>
        <w:t xml:space="preserve">31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5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5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6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7"/>
        </w:numPr>
      </w:pPr>
      <w:r>
        <w:t xml:space="preserve">Surgery 8 weeks after the end of radiation</w:t>
      </w:r>
    </w:p>
    <w:bookmarkEnd w:id="39"/>
    <w:bookmarkStart w:id="40" w:name="chemo-radiation---side-effects"/>
    <w:p>
      <w:pPr>
        <w:pStyle w:val="Heading2"/>
      </w:pPr>
      <w:r>
        <w:t xml:space="preserve">32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0"/>
    <w:bookmarkStart w:id="41" w:name="adenocarcinoma-treatment-options"/>
    <w:p>
      <w:pPr>
        <w:pStyle w:val="Heading2"/>
      </w:pPr>
      <w:r>
        <w:t xml:space="preserve">33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1"/>
    <w:bookmarkStart w:id="42" w:name="locally-advanced-adenocarcinoma"/>
    <w:p>
      <w:pPr>
        <w:pStyle w:val="Heading2"/>
      </w:pPr>
      <w:r>
        <w:t xml:space="preserve">34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8"/>
        </w:numPr>
      </w:pPr>
      <w:r>
        <w:t xml:space="preserve">FLOT (more effective)</w:t>
      </w:r>
    </w:p>
    <w:p>
      <w:pPr>
        <w:pStyle w:val="Compact"/>
        <w:numPr>
          <w:ilvl w:val="0"/>
          <w:numId w:val="1019"/>
        </w:numPr>
      </w:pPr>
      <w:r>
        <w:t xml:space="preserve">FOLFOX (better tolerated)</w:t>
      </w:r>
    </w:p>
    <w:bookmarkEnd w:id="42"/>
    <w:bookmarkStart w:id="43" w:name="sandwich-chemotherapy-drugs"/>
    <w:p>
      <w:pPr>
        <w:pStyle w:val="Heading2"/>
      </w:pPr>
      <w:r>
        <w:t xml:space="preserve">35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Leucovorion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p>
      <w:pPr>
        <w:pStyle w:val="Compact"/>
        <w:numPr>
          <w:ilvl w:val="0"/>
          <w:numId w:val="1020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1"/>
        </w:numPr>
      </w:pPr>
      <w:r>
        <w:t xml:space="preserve">5-FU</w:t>
      </w:r>
    </w:p>
    <w:p>
      <w:pPr>
        <w:pStyle w:val="Compact"/>
        <w:numPr>
          <w:ilvl w:val="0"/>
          <w:numId w:val="1021"/>
        </w:numPr>
      </w:pPr>
      <w:r>
        <w:t xml:space="preserve">Leucovorin</w:t>
      </w:r>
    </w:p>
    <w:p>
      <w:pPr>
        <w:pStyle w:val="Compact"/>
        <w:numPr>
          <w:ilvl w:val="0"/>
          <w:numId w:val="1021"/>
        </w:numPr>
      </w:pPr>
      <w:r>
        <w:t xml:space="preserve">Oxaliplatin</w:t>
      </w:r>
    </w:p>
    <w:bookmarkEnd w:id="43"/>
    <w:bookmarkStart w:id="44" w:name="flot-treatment-plan"/>
    <w:p>
      <w:pPr>
        <w:pStyle w:val="Heading2"/>
      </w:pPr>
      <w:r>
        <w:t xml:space="preserve">36 FLOT Treatment Plan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bookmarkEnd w:id="44"/>
    <w:bookmarkStart w:id="45" w:name="durvalumab-immunotherapy"/>
    <w:p>
      <w:pPr>
        <w:pStyle w:val="Heading2"/>
      </w:pPr>
      <w:r>
        <w:t xml:space="preserve">37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5"/>
    <w:bookmarkStart w:id="46" w:name="matterhorn-trial"/>
    <w:p>
      <w:pPr>
        <w:pStyle w:val="Heading2"/>
      </w:pPr>
      <w:r>
        <w:t xml:space="preserve">38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6"/>
    <w:bookmarkStart w:id="47" w:name="flot-chemo-durvalumab"/>
    <w:p>
      <w:pPr>
        <w:pStyle w:val="Heading2"/>
      </w:pPr>
      <w:r>
        <w:t xml:space="preserve">39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Surgery (4-6 weeks later)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Durvalumab monthly x10</w:t>
      </w:r>
    </w:p>
    <w:bookmarkEnd w:id="47"/>
    <w:bookmarkStart w:id="48" w:name="tumor-biomarkers---pathology-tests"/>
    <w:p>
      <w:pPr>
        <w:pStyle w:val="Heading2"/>
      </w:pPr>
      <w:r>
        <w:t xml:space="preserve">40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5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5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5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8"/>
    <w:bookmarkStart w:id="49" w:name="adenocarcinoma-treatment-options-1"/>
    <w:p>
      <w:pPr>
        <w:pStyle w:val="Heading2"/>
      </w:pPr>
      <w:r>
        <w:t xml:space="preserve">41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6"/>
        </w:numPr>
      </w:pPr>
      <w:r>
        <w:t xml:space="preserve">Chemo+Radiation (6 wks)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p>
      <w:pPr>
        <w:pStyle w:val="Compact"/>
        <w:numPr>
          <w:ilvl w:val="0"/>
          <w:numId w:val="1027"/>
        </w:numPr>
      </w:pPr>
      <w:r>
        <w:t xml:space="preserve">Surgery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bookmarkEnd w:id="49"/>
    <w:bookmarkStart w:id="50" w:name="adenocarcinoma-treatment-options-2"/>
    <w:p>
      <w:pPr>
        <w:pStyle w:val="Heading2"/>
      </w:pPr>
      <w:r>
        <w:t xml:space="preserve">42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8"/>
        </w:numPr>
      </w:pPr>
      <w:r>
        <w:t xml:space="preserve">Longer track record</w:t>
      </w:r>
    </w:p>
    <w:p>
      <w:pPr>
        <w:pStyle w:val="Compact"/>
        <w:numPr>
          <w:ilvl w:val="0"/>
          <w:numId w:val="1028"/>
        </w:numPr>
      </w:pPr>
      <w:r>
        <w:t xml:space="preserve">Better tolerated</w:t>
      </w:r>
    </w:p>
    <w:p>
      <w:pPr>
        <w:pStyle w:val="Compact"/>
        <w:numPr>
          <w:ilvl w:val="0"/>
          <w:numId w:val="1028"/>
        </w:numPr>
      </w:pPr>
      <w:r>
        <w:t xml:space="preserve">Port usually placed</w:t>
      </w:r>
    </w:p>
    <w:p>
      <w:pPr>
        <w:pStyle w:val="Compact"/>
        <w:numPr>
          <w:ilvl w:val="0"/>
          <w:numId w:val="1028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8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9"/>
        </w:numPr>
      </w:pPr>
      <w:r>
        <w:t xml:space="preserve">More effective</w:t>
      </w:r>
    </w:p>
    <w:p>
      <w:pPr>
        <w:pStyle w:val="Compact"/>
        <w:numPr>
          <w:ilvl w:val="0"/>
          <w:numId w:val="1029"/>
        </w:numPr>
      </w:pPr>
      <w:r>
        <w:t xml:space="preserve">More side effects</w:t>
      </w:r>
    </w:p>
    <w:p>
      <w:pPr>
        <w:pStyle w:val="Compact"/>
        <w:numPr>
          <w:ilvl w:val="0"/>
          <w:numId w:val="1029"/>
        </w:numPr>
      </w:pPr>
      <w:r>
        <w:t xml:space="preserve">Port always required</w:t>
      </w:r>
    </w:p>
    <w:p>
      <w:pPr>
        <w:pStyle w:val="Compact"/>
        <w:numPr>
          <w:ilvl w:val="0"/>
          <w:numId w:val="1029"/>
        </w:numPr>
      </w:pPr>
      <w:r>
        <w:t xml:space="preserve">Eating gets slowly better</w:t>
      </w:r>
    </w:p>
    <w:p>
      <w:pPr>
        <w:pStyle w:val="Compact"/>
        <w:numPr>
          <w:ilvl w:val="0"/>
          <w:numId w:val="1029"/>
        </w:numPr>
      </w:pPr>
      <w:r>
        <w:t xml:space="preserve">Feeding tube less likely</w:t>
      </w:r>
    </w:p>
    <w:bookmarkEnd w:id="50"/>
    <w:bookmarkStart w:id="51" w:name="chemotherapy-administration"/>
    <w:p>
      <w:pPr>
        <w:pStyle w:val="Heading2"/>
      </w:pPr>
      <w:r>
        <w:t xml:space="preserve">43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0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0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0"/>
        </w:numPr>
      </w:pPr>
      <w:r>
        <w:t xml:space="preserve">Central Venous port</w:t>
      </w:r>
    </w:p>
    <w:bookmarkEnd w:id="51"/>
    <w:bookmarkStart w:id="52" w:name="X24de4000c031f200c5dfe01452aa364022c5d0d"/>
    <w:p>
      <w:pPr>
        <w:pStyle w:val="Heading2"/>
      </w:pPr>
      <w:r>
        <w:t xml:space="preserve">44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1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1"/>
        </w:numPr>
      </w:pPr>
      <w:r>
        <w:t xml:space="preserve">Placed for each dose</w:t>
      </w:r>
    </w:p>
    <w:p>
      <w:pPr>
        <w:pStyle w:val="Compact"/>
        <w:numPr>
          <w:ilvl w:val="0"/>
          <w:numId w:val="1031"/>
        </w:numPr>
      </w:pPr>
      <w:r>
        <w:t xml:space="preserve">Removed that day</w:t>
      </w:r>
    </w:p>
    <w:p>
      <w:pPr>
        <w:pStyle w:val="Compact"/>
        <w:numPr>
          <w:ilvl w:val="0"/>
          <w:numId w:val="1031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2"/>
    <w:bookmarkStart w:id="53" w:name="central-venous-port"/>
    <w:p>
      <w:pPr>
        <w:pStyle w:val="Heading2"/>
      </w:pPr>
      <w:r>
        <w:t xml:space="preserve">45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3"/>
    <w:bookmarkStart w:id="54" w:name="central-venous-port-1"/>
    <w:p>
      <w:pPr>
        <w:pStyle w:val="Heading2"/>
      </w:pPr>
      <w:r>
        <w:t xml:space="preserve">46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4"/>
    <w:bookmarkStart w:id="55" w:name="central-venous-port-2"/>
    <w:p>
      <w:pPr>
        <w:pStyle w:val="Heading2"/>
      </w:pPr>
      <w:r>
        <w:t xml:space="preserve">47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5"/>
    <w:bookmarkStart w:id="56" w:name="restaging"/>
    <w:p>
      <w:pPr>
        <w:pStyle w:val="Heading2"/>
      </w:pPr>
      <w:r>
        <w:t xml:space="preserve">48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56"/>
    <w:bookmarkStart w:id="57" w:name="primary-care-practitioner-pcp"/>
    <w:p>
      <w:pPr>
        <w:pStyle w:val="Heading2"/>
      </w:pPr>
      <w:r>
        <w:t xml:space="preserve">49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7"/>
    <w:bookmarkStart w:id="58" w:name="my-atrium-patient-portal"/>
    <w:p>
      <w:pPr>
        <w:pStyle w:val="Heading2"/>
      </w:pPr>
      <w:r>
        <w:t xml:space="preserve">50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58"/>
    <w:bookmarkStart w:id="59" w:name="exercise"/>
    <w:p>
      <w:pPr>
        <w:pStyle w:val="Heading2"/>
      </w:pPr>
      <w:r>
        <w:t xml:space="preserve">51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59"/>
    <w:bookmarkStart w:id="60" w:name="smoking-cessation"/>
    <w:p>
      <w:pPr>
        <w:pStyle w:val="Heading2"/>
      </w:pPr>
      <w:r>
        <w:t xml:space="preserve">52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60"/>
    <w:bookmarkStart w:id="61" w:name="protein-needs"/>
    <w:p>
      <w:pPr>
        <w:pStyle w:val="Heading2"/>
      </w:pPr>
      <w:r>
        <w:t xml:space="preserve">53 Protein Needs</w:t>
      </w:r>
    </w:p>
    <w:bookmarkEnd w:id="61"/>
    <w:bookmarkStart w:id="62" w:name="feeding-tubes"/>
    <w:p>
      <w:pPr>
        <w:pStyle w:val="Heading2"/>
      </w:pPr>
      <w:r>
        <w:t xml:space="preserve">54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2"/>
    <w:bookmarkStart w:id="63" w:name="gastrostomy-tube"/>
    <w:p>
      <w:pPr>
        <w:pStyle w:val="Heading2"/>
      </w:pPr>
      <w:r>
        <w:t xml:space="preserve">55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63"/>
    <w:bookmarkStart w:id="64" w:name="gastrostomy-tube-methods"/>
    <w:p>
      <w:pPr>
        <w:pStyle w:val="Heading2"/>
      </w:pPr>
      <w:r>
        <w:t xml:space="preserve">56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4"/>
    <w:bookmarkStart w:id="65" w:name="gastrostomy-tube-1"/>
    <w:p>
      <w:pPr>
        <w:pStyle w:val="Heading2"/>
      </w:pPr>
      <w:r>
        <w:t xml:space="preserve">57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65"/>
    <w:bookmarkStart w:id="66" w:name="jejunostomy-tube"/>
    <w:p>
      <w:pPr>
        <w:pStyle w:val="Heading2"/>
      </w:pPr>
      <w:r>
        <w:t xml:space="preserve">58 Jejunostomy Tube</w:t>
      </w:r>
    </w:p>
    <w:bookmarkEnd w:id="66"/>
    <w:bookmarkStart w:id="67" w:name="jejunostomy-typical-regimen"/>
    <w:p>
      <w:pPr>
        <w:pStyle w:val="Heading2"/>
      </w:pPr>
      <w:r>
        <w:t xml:space="preserve">59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7"/>
    <w:bookmarkStart w:id="68" w:name="jejunostomy-feeds-with-diabetes"/>
    <w:p>
      <w:pPr>
        <w:pStyle w:val="Heading2"/>
      </w:pPr>
      <w:r>
        <w:t xml:space="preserve">60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68"/>
    <w:bookmarkStart w:id="69" w:name="jejunostomy-video"/>
    <w:p>
      <w:pPr>
        <w:pStyle w:val="Heading2"/>
      </w:pPr>
      <w:r>
        <w:t xml:space="preserve">61 Jejunostomy Video</w:t>
      </w:r>
    </w:p>
    <w:bookmarkEnd w:id="69"/>
    <w:bookmarkStart w:id="70" w:name="surgery-for-esophageal-cancer"/>
    <w:p>
      <w:pPr>
        <w:pStyle w:val="Heading2"/>
      </w:pPr>
      <w:r>
        <w:t xml:space="preserve">62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70"/>
    <w:bookmarkStart w:id="74" w:name="goals-of-surgery"/>
    <w:p>
      <w:pPr>
        <w:pStyle w:val="Heading2"/>
      </w:pPr>
      <w:r>
        <w:t xml:space="preserve">63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Eso_Resection1_ai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ivor-lewis-transthoracic-esophagectomy"/>
    <w:p>
      <w:pPr>
        <w:pStyle w:val="Heading2"/>
      </w:pPr>
      <w:r>
        <w:t xml:space="preserve">64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Eso_Resection2_ai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reconstruction"/>
    <w:p>
      <w:pPr>
        <w:pStyle w:val="Heading2"/>
      </w:pPr>
      <w:r>
        <w:t xml:space="preserve">65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Eso_Resection3_ai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ivor-lewis-esophagectomy"/>
    <w:p>
      <w:pPr>
        <w:pStyle w:val="Heading2"/>
      </w:pPr>
      <w:r>
        <w:t xml:space="preserve">66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IvorLewis_Anastomosis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minimally-invasive-ivor-lewis"/>
    <w:p>
      <w:pPr>
        <w:pStyle w:val="Heading2"/>
      </w:pPr>
      <w:r>
        <w:t xml:space="preserve">67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MIE_IvorLewisArtboar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open-ivor-lewis"/>
    <w:p>
      <w:pPr>
        <w:pStyle w:val="Heading2"/>
      </w:pPr>
      <w:r>
        <w:t xml:space="preserve">68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IvorLewisArtboard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total-esophagectomy"/>
    <w:p>
      <w:pPr>
        <w:pStyle w:val="Heading2"/>
      </w:pPr>
      <w:r>
        <w:t xml:space="preserve">69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ProxTumorArtboa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5" w:name="mckeown-esophagectomy"/>
    <w:p>
      <w:pPr>
        <w:pStyle w:val="Heading2"/>
      </w:pPr>
      <w:r>
        <w:t xml:space="preserve">70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Eso_ResectionTotal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MIE_McKeown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5"/>
    <w:bookmarkStart w:id="106" w:name="risks-of-esophagectomy"/>
    <w:p>
      <w:pPr>
        <w:pStyle w:val="Heading2"/>
      </w:pPr>
      <w:r>
        <w:t xml:space="preserve">71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06"/>
    <w:bookmarkStart w:id="109" w:name="anastomotic-leak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IvorLewis_Anastomosis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anastomotic-leak-1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6" w:name="anastomotic-leak-2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Leak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anastomotic-leak-3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pneumonia"/>
    <w:p>
      <w:pPr>
        <w:pStyle w:val="Heading2"/>
      </w:pPr>
      <w:r>
        <w:t xml:space="preserve">76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LungsArtboard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reventing-pneumonia"/>
    <w:p>
      <w:pPr>
        <w:pStyle w:val="Heading2"/>
      </w:pPr>
      <w:r>
        <w:t xml:space="preserve">77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24"/>
    <w:bookmarkStart w:id="131" w:name="minimally-invasive-esophagectomy"/>
    <w:p>
      <w:pPr>
        <w:pStyle w:val="Heading2"/>
      </w:pPr>
      <w:r>
        <w:t xml:space="preserve">78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mie_ab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mie_chest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risks-of-surgery"/>
    <w:p>
      <w:pPr>
        <w:pStyle w:val="Heading2"/>
      </w:pPr>
      <w:r>
        <w:t xml:space="preserve">79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32"/>
    <w:bookmarkStart w:id="133" w:name="risks-of-surgery-1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33"/>
    <w:bookmarkStart w:id="134" w:name="risks-of-surgery-2"/>
    <w:p>
      <w:pPr>
        <w:pStyle w:val="Heading2"/>
      </w:pPr>
      <w:r>
        <w:t xml:space="preserve">81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4"/>
    <w:bookmarkStart w:id="135" w:name="day-prior-to-surgery"/>
    <w:p>
      <w:pPr>
        <w:pStyle w:val="Heading2"/>
      </w:pPr>
      <w:r>
        <w:t xml:space="preserve">82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35"/>
    <w:bookmarkStart w:id="136" w:name="day-of-surgery"/>
    <w:p>
      <w:pPr>
        <w:pStyle w:val="Heading2"/>
      </w:pPr>
      <w:r>
        <w:t xml:space="preserve">83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36"/>
    <w:bookmarkStart w:id="137" w:name="epidural-catheter-for-pain-control"/>
    <w:p>
      <w:pPr>
        <w:pStyle w:val="Heading2"/>
      </w:pPr>
      <w:r>
        <w:t xml:space="preserve">84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37"/>
    <w:bookmarkStart w:id="138" w:name="intensive-care-unit-icu-2-4-days"/>
    <w:p>
      <w:pPr>
        <w:pStyle w:val="Heading2"/>
      </w:pPr>
      <w:r>
        <w:t xml:space="preserve">85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38"/>
    <w:bookmarkStart w:id="139" w:name="intensive-care-unit-icu"/>
    <w:p>
      <w:pPr>
        <w:pStyle w:val="Heading2"/>
      </w:pPr>
      <w:r>
        <w:t xml:space="preserve">86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39"/>
    <w:bookmarkStart w:id="140" w:name="ward---6tower"/>
    <w:p>
      <w:pPr>
        <w:pStyle w:val="Heading2"/>
      </w:pPr>
      <w:r>
        <w:t xml:space="preserve">87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40"/>
    <w:bookmarkStart w:id="141" w:name="jejunostomy-feeds"/>
    <w:p>
      <w:pPr>
        <w:pStyle w:val="Heading2"/>
      </w:pPr>
      <w:r>
        <w:t xml:space="preserve">88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41"/>
    <w:bookmarkStart w:id="142" w:name="jejunostomy-tube-1"/>
    <w:p>
      <w:pPr>
        <w:pStyle w:val="Heading2"/>
      </w:pPr>
      <w:r>
        <w:t xml:space="preserve">89 Jejunostomy Tube</w:t>
      </w:r>
    </w:p>
    <w:bookmarkEnd w:id="142"/>
    <w:bookmarkStart w:id="143" w:name="jejunostomy-typical-regimen-1"/>
    <w:p>
      <w:pPr>
        <w:pStyle w:val="Heading2"/>
      </w:pPr>
      <w:r>
        <w:t xml:space="preserve">90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3"/>
    <w:bookmarkStart w:id="144" w:name="jejunostomy-feeds-with-diabetes-1"/>
    <w:p>
      <w:pPr>
        <w:pStyle w:val="Heading2"/>
      </w:pPr>
      <w:r>
        <w:t xml:space="preserve">91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44"/>
    <w:bookmarkStart w:id="145" w:name="jejunostomy-video-1"/>
    <w:p>
      <w:pPr>
        <w:pStyle w:val="Heading2"/>
      </w:pPr>
      <w:r>
        <w:t xml:space="preserve">92 Jejunostomy Video</w:t>
      </w:r>
    </w:p>
    <w:bookmarkEnd w:id="145"/>
    <w:bookmarkStart w:id="146" w:name="activity-after-surgery"/>
    <w:p>
      <w:pPr>
        <w:pStyle w:val="Heading2"/>
      </w:pPr>
      <w:r>
        <w:t xml:space="preserve">93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46"/>
    <w:bookmarkStart w:id="147" w:name="nasogastric-ng-tube"/>
    <w:p>
      <w:pPr>
        <w:pStyle w:val="Heading2"/>
      </w:pPr>
      <w:r>
        <w:t xml:space="preserve">94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47"/>
    <w:bookmarkStart w:id="148" w:name="swallowing-evaluation"/>
    <w:p>
      <w:pPr>
        <w:pStyle w:val="Heading2"/>
      </w:pPr>
      <w:r>
        <w:t xml:space="preserve">95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8"/>
    <w:bookmarkStart w:id="149" w:name="oral-intake-at-home"/>
    <w:p>
      <w:pPr>
        <w:pStyle w:val="Heading2"/>
      </w:pPr>
      <w:r>
        <w:t xml:space="preserve">96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49"/>
    <w:bookmarkStart w:id="150" w:name="discharge"/>
    <w:p>
      <w:pPr>
        <w:pStyle w:val="Heading2"/>
      </w:pPr>
      <w:r>
        <w:t xml:space="preserve">97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50"/>
    <w:bookmarkStart w:id="151" w:name="nutrition-after-surgery"/>
    <w:p>
      <w:pPr>
        <w:pStyle w:val="Heading2"/>
      </w:pPr>
      <w:r>
        <w:t xml:space="preserve">98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1"/>
    <w:bookmarkStart w:id="152" w:name="X15701f9deabaab366e08b73bd1ea6f1240694c5"/>
    <w:p>
      <w:pPr>
        <w:pStyle w:val="Heading2"/>
      </w:pPr>
      <w:r>
        <w:t xml:space="preserve">99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52"/>
    <w:bookmarkStart w:id="153" w:name="post-esophagectomy-diet"/>
    <w:p>
      <w:pPr>
        <w:pStyle w:val="Heading2"/>
      </w:pPr>
      <w:r>
        <w:t xml:space="preserve">100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53"/>
    <w:bookmarkStart w:id="154" w:name="medicines-at-home---pain"/>
    <w:p>
      <w:pPr>
        <w:pStyle w:val="Heading2"/>
      </w:pPr>
      <w:r>
        <w:t xml:space="preserve">101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54"/>
    <w:bookmarkStart w:id="155" w:name="non-steroidals-anti-inflammatory-nsaid"/>
    <w:p>
      <w:pPr>
        <w:pStyle w:val="Heading2"/>
      </w:pPr>
      <w:r>
        <w:t xml:space="preserve">102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55"/>
    <w:bookmarkStart w:id="156" w:name="acid-blockers-proton-pump-inhibitors"/>
    <w:p>
      <w:pPr>
        <w:pStyle w:val="Heading2"/>
      </w:pPr>
      <w:r>
        <w:t xml:space="preserve">103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56"/>
    <w:bookmarkStart w:id="157" w:name="medicines-at-home"/>
    <w:p>
      <w:pPr>
        <w:pStyle w:val="Heading2"/>
      </w:pPr>
      <w:r>
        <w:t xml:space="preserve">104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57"/>
    <w:bookmarkStart w:id="158" w:name="metoprolol-beta-blockers"/>
    <w:p>
      <w:pPr>
        <w:pStyle w:val="Heading2"/>
      </w:pPr>
      <w:r>
        <w:t xml:space="preserve">105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8"/>
    <w:bookmarkStart w:id="162" w:name="sleeping-at-home"/>
    <w:p>
      <w:pPr>
        <w:pStyle w:val="Heading2"/>
      </w:pPr>
      <w:r>
        <w:t xml:space="preserve">106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images/wedge_pillow_comm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3" w:name="postoperative-visit-at-7-10-days"/>
    <w:p>
      <w:pPr>
        <w:pStyle w:val="Heading2"/>
      </w:pPr>
      <w:r>
        <w:t xml:space="preserve">107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3"/>
    <w:bookmarkStart w:id="164" w:name="after-surgery"/>
    <w:p>
      <w:pPr>
        <w:pStyle w:val="Heading2"/>
      </w:pPr>
      <w:r>
        <w:t xml:space="preserve">108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4"/>
    <w:bookmarkStart w:id="165" w:name="jejunostomy-removal"/>
    <w:p>
      <w:pPr>
        <w:pStyle w:val="Heading2"/>
      </w:pPr>
      <w:r>
        <w:t xml:space="preserve">109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5"/>
    <w:bookmarkStart w:id="166" w:name="nutritional-monitoring-after-surgery"/>
    <w:p>
      <w:pPr>
        <w:pStyle w:val="Heading2"/>
      </w:pPr>
      <w:r>
        <w:t xml:space="preserve">110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66"/>
    <w:bookmarkStart w:id="167" w:name="nutritional-monitoring-after-surgery-1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67"/>
    <w:bookmarkStart w:id="168" w:name="nutritional-replacements-after-surgery"/>
    <w:p>
      <w:pPr>
        <w:pStyle w:val="Heading2"/>
      </w:pPr>
      <w:r>
        <w:t xml:space="preserve">112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68"/>
    <w:bookmarkStart w:id="169" w:name="team-members---physicians"/>
    <w:p>
      <w:pPr>
        <w:pStyle w:val="Heading2"/>
      </w:pPr>
      <w:r>
        <w:t xml:space="preserve">113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69"/>
    <w:bookmarkStart w:id="170" w:name="team-members---support-staff"/>
    <w:p>
      <w:pPr>
        <w:pStyle w:val="Heading2"/>
      </w:pPr>
      <w:r>
        <w:t xml:space="preserve">114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106"/>
        </w:numPr>
      </w:pPr>
      <w:r>
        <w:t xml:space="preserve">Laura Swift</w:t>
      </w:r>
    </w:p>
    <w:p>
      <w:pPr>
        <w:pStyle w:val="Compact"/>
        <w:numPr>
          <w:ilvl w:val="0"/>
          <w:numId w:val="110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3" Target="media/rId83.png" /><Relationship Type="http://schemas.openxmlformats.org/officeDocument/2006/relationships/image" Id="rId110" Target="media/rId110.png" /><Relationship Type="http://schemas.openxmlformats.org/officeDocument/2006/relationships/image" Id="rId120" Target="media/rId120.png" /><Relationship Type="http://schemas.openxmlformats.org/officeDocument/2006/relationships/image" Id="rId102" Target="media/rId102.png" /><Relationship Type="http://schemas.openxmlformats.org/officeDocument/2006/relationships/image" Id="rId95" Target="media/rId95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91" Target="media/rId91.png" /><Relationship Type="http://schemas.openxmlformats.org/officeDocument/2006/relationships/image" Id="rId87" Target="media/rId87.png" /><Relationship Type="http://schemas.openxmlformats.org/officeDocument/2006/relationships/image" Id="rId125" Target="media/rId125.png" /><Relationship Type="http://schemas.openxmlformats.org/officeDocument/2006/relationships/image" Id="rId128" Target="media/rId128.png" /><Relationship Type="http://schemas.openxmlformats.org/officeDocument/2006/relationships/image" Id="rId159" Target="media/rId15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2026-06-25T01:25:06Z</dcterms:created>
  <dcterms:modified xsi:type="dcterms:W3CDTF">2026-06-25T01:25:06Z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