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intravenous-drug-administration-l-4."/>
    <w:p>
      <w:pPr>
        <w:pStyle w:val="Heading2"/>
      </w:pPr>
      <w:r>
        <w:t xml:space="preserve">2 Intravenous Drug Administration</w:t>
      </w:r>
      <w:r>
        <w:t xml:space="preserve"> </w:t>
      </w:r>
      <w:r>
        <w:rPr>
          <w:i/>
          <w:iCs/>
        </w:rPr>
        <w:t xml:space="preserve">L</w:t>
      </w:r>
      <w:r>
        <w:t xml:space="preserve"> </w:t>
      </w:r>
      <w:r>
        <w:rPr>
          <w:i/>
          <w:iCs/>
        </w:rPr>
        <w:t xml:space="preserve">4</w:t>
      </w:r>
      <w:r>
        <w:t xml:space="preserve">.</w:t>
      </w:r>
    </w:p>
    <w:p>
      <w:pPr>
        <w:pStyle w:val="FirstParagraph"/>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bookmarkEnd w:id="21"/>
    <w:bookmarkStart w:id="22" w:name="intravenous-drug-administration"/>
    <w:p>
      <w:pPr>
        <w:pStyle w:val="Heading2"/>
      </w:pPr>
      <w:r>
        <w:t xml:space="preserve">3 Intravenous Drug Administration</w:t>
      </w:r>
    </w:p>
    <w:p>
      <w:pPr>
        <w:pStyle w:val="FirstParagraph"/>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bookmarkEnd w:id="22"/>
    <w:bookmarkStart w:id="23" w:name="piv"/>
    <w:p>
      <w:pPr>
        <w:pStyle w:val="Heading2"/>
      </w:pPr>
      <w:r>
        <w:t xml:space="preserve">4 PIV</w:t>
      </w:r>
    </w:p>
    <w:p>
      <w:pPr>
        <w:pStyle w:val="FirstParagraph"/>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bookmarkEnd w:id="23"/>
    <w:bookmarkStart w:id="24" w:name="picc"/>
    <w:p>
      <w:pPr>
        <w:pStyle w:val="Heading2"/>
      </w:pPr>
      <w:r>
        <w:t xml:space="preserve">5 PICC</w:t>
      </w:r>
    </w:p>
    <w:p>
      <w:pPr>
        <w:pStyle w:val="FirstParagraph"/>
      </w:pPr>
      <w:r>
        <w:t xml:space="preserve">A peripherally inserved central venous catheter or PICC is similar to a peripheral IV but contains a long, thin tube.</w:t>
      </w:r>
    </w:p>
    <w:bookmarkEnd w:id="24"/>
    <w:bookmarkStart w:id="25" w:name="section"/>
    <w:p>
      <w:pPr>
        <w:pStyle w:val="Heading2"/>
      </w:pPr>
      <w:r>
        <w:t xml:space="preserve">6</w:t>
      </w:r>
      <w:r>
        <w:t xml:space="preserve"> </w:t>
      </w:r>
    </w:p>
    <w:p>
      <w:pPr>
        <w:pStyle w:val="FirstParagraph"/>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bookmarkEnd w:id="25"/>
    <w:bookmarkStart w:id="26" w:name="port"/>
    <w:p>
      <w:pPr>
        <w:pStyle w:val="Heading2"/>
      </w:pPr>
      <w:r>
        <w:t xml:space="preserve">7 Port</w:t>
      </w:r>
    </w:p>
    <w:p>
      <w:pPr>
        <w:pStyle w:val="FirstParagraph"/>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bookmarkEnd w:id="26"/>
    <w:bookmarkStart w:id="27" w:name="section-1"/>
    <w:p>
      <w:pPr>
        <w:pStyle w:val="Heading2"/>
      </w:pPr>
      <w:r>
        <w:t xml:space="preserve">8</w:t>
      </w:r>
      <w:r>
        <w:t xml:space="preserve"> </w:t>
      </w:r>
    </w:p>
    <w:p>
      <w:pPr>
        <w:pStyle w:val="FirstParagraph"/>
      </w:pPr>
      <w:r>
        <w:t xml:space="preserve">The port delivers drugs into the main vein near the heart</w:t>
      </w:r>
    </w:p>
    <w:p>
      <w:pPr>
        <w:pStyle w:val="BodyText"/>
      </w:pPr>
      <w:r>
        <w:t xml:space="preserve">Suitable for FLOT (which requires a 24-hour infusion)</w:t>
      </w:r>
    </w:p>
    <w:bookmarkEnd w:id="27"/>
    <w:bookmarkStart w:id="28" w:name="section-2"/>
    <w:p>
      <w:pPr>
        <w:pStyle w:val="Heading2"/>
      </w:pPr>
      <w:r>
        <w:t xml:space="preserve">9</w:t>
      </w:r>
      <w:r>
        <w:t xml:space="preserve"> </w:t>
      </w:r>
    </w:p>
    <w:p>
      <w:pPr>
        <w:pStyle w:val="FirstParagraph"/>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bookmarkEnd w:id="28"/>
    <w:bookmarkStart w:id="29" w:name="port-1"/>
    <w:p>
      <w:pPr>
        <w:pStyle w:val="Heading2"/>
      </w:pPr>
      <w:r>
        <w:t xml:space="preserve">10 Port</w:t>
      </w:r>
    </w:p>
    <w:p>
      <w:pPr>
        <w:pStyle w:val="FirstParagraph"/>
      </w:pPr>
      <w:r>
        <w:t xml:space="preserve">It is completely implanted under the skin</w:t>
      </w:r>
    </w:p>
    <w:p>
      <w:pPr>
        <w:pStyle w:val="BodyText"/>
      </w:pPr>
      <w:r>
        <w:t xml:space="preserve">It is usually placed below the collar bone</w:t>
      </w:r>
    </w:p>
    <w:bookmarkEnd w:id="29"/>
    <w:bookmarkStart w:id="30" w:name="cv-port"/>
    <w:p>
      <w:pPr>
        <w:pStyle w:val="Heading2"/>
      </w:pPr>
      <w:r>
        <w:t xml:space="preserve">11 CV Port</w:t>
      </w:r>
    </w:p>
    <w:p>
      <w:pPr>
        <w:pStyle w:val="FirstParagraph"/>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bookmarkEnd w:id="30"/>
    <w:bookmarkStart w:id="31" w:name="cv-p"/>
    <w:p>
      <w:pPr>
        <w:pStyle w:val="Heading2"/>
      </w:pPr>
      <w:r>
        <w:t xml:space="preserve">12 CV P</w:t>
      </w:r>
    </w:p>
    <w:p>
      <w:pPr>
        <w:pStyle w:val="FirstParagraph"/>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bookmarkEnd w:id="31"/>
    <w:bookmarkStart w:id="32" w:name="cvp"/>
    <w:p>
      <w:pPr>
        <w:pStyle w:val="Heading2"/>
      </w:pPr>
      <w:r>
        <w:t xml:space="preserve">13 CVP</w:t>
      </w:r>
    </w:p>
    <w:p>
      <w:pPr>
        <w:pStyle w:val="FirstParagraph"/>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bookmarkEnd w:id="32"/>
    <w:bookmarkStart w:id="33" w:name="risks"/>
    <w:p>
      <w:pPr>
        <w:pStyle w:val="Heading2"/>
      </w:pPr>
      <w:r>
        <w:t xml:space="preserve">14 RIsks</w:t>
      </w:r>
    </w:p>
    <w:p>
      <w:pPr>
        <w:pStyle w:val="FirstParagraph"/>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bookmarkEnd w:id="33"/>
    <w:bookmarkStart w:id="34" w:name="hematoma"/>
    <w:p>
      <w:pPr>
        <w:pStyle w:val="Heading2"/>
      </w:pPr>
      <w:r>
        <w:t xml:space="preserve">15 Hematoma</w:t>
      </w:r>
    </w:p>
    <w:p>
      <w:pPr>
        <w:pStyle w:val="FirstParagraph"/>
      </w:pPr>
      <w:r>
        <w:t xml:space="preserve">A hematoma is a blood clot under the skin at the surgical site.</w:t>
      </w:r>
    </w:p>
    <w:p>
      <w:pPr>
        <w:pStyle w:val="BodyText"/>
      </w:pPr>
      <w:r>
        <w:t xml:space="preserve">In some cases this may require surgery to remove the clotted blood.</w:t>
      </w:r>
    </w:p>
    <w:bookmarkEnd w:id="34"/>
    <w:bookmarkStart w:id="35" w:name="section-3"/>
    <w:p>
      <w:pPr>
        <w:pStyle w:val="Heading2"/>
      </w:pPr>
      <w:r>
        <w:t xml:space="preserve">16</w:t>
      </w:r>
      <w:r>
        <w:t xml:space="preserve"> </w:t>
      </w:r>
    </w:p>
    <w:p>
      <w:pPr>
        <w:pStyle w:val="FirstParagraph"/>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35"/>
    <w:bookmarkStart w:id="36" w:name="malfunction"/>
    <w:p>
      <w:pPr>
        <w:pStyle w:val="Heading2"/>
      </w:pPr>
      <w:r>
        <w:t xml:space="preserve">17 Malfunction</w:t>
      </w:r>
    </w:p>
    <w:p>
      <w:pPr>
        <w:pStyle w:val="FirstParagraph"/>
      </w:pPr>
      <w:r>
        <w:t xml:space="preserve">Ordinarily, their is easy flow through the catheter.</w:t>
      </w:r>
    </w:p>
    <w:p>
      <w:pPr>
        <w:pStyle w:val="BodyText"/>
      </w:pPr>
      <w:r>
        <w:t xml:space="preserve">If there is poor flow through the catheter, this may require attention</w:t>
      </w:r>
    </w:p>
    <w:bookmarkEnd w:id="36"/>
    <w:bookmarkStart w:id="37" w:name="section-4"/>
    <w:p>
      <w:pPr>
        <w:pStyle w:val="Heading2"/>
      </w:pPr>
      <w:r>
        <w:t xml:space="preserve">18</w:t>
      </w:r>
      <w:r>
        <w:t xml:space="preserve"> </w:t>
      </w:r>
    </w:p>
    <w:p>
      <w:pPr>
        <w:pStyle w:val="FirstParagraph"/>
      </w:pPr>
      <w:r>
        <w:t xml:space="preserve">IN some cases this is due to a blood clot on the tip of the catheter which can ne treated with drugs to dissolve the clot</w:t>
      </w:r>
    </w:p>
    <w:bookmarkEnd w:id="37"/>
    <w:bookmarkStart w:id="38" w:name="section-5"/>
    <w:p>
      <w:pPr>
        <w:pStyle w:val="Heading2"/>
      </w:pPr>
      <w:r>
        <w:t xml:space="preserve">19</w:t>
      </w:r>
      <w:r>
        <w:t xml:space="preserve"> </w:t>
      </w:r>
    </w:p>
    <w:p>
      <w:pPr>
        <w:pStyle w:val="FirstParagraph"/>
      </w:pPr>
      <w:r>
        <w:t xml:space="preserve">In other cases the port will need to be replaced in the operating room</w:t>
      </w:r>
    </w:p>
    <w:bookmarkEnd w:id="38"/>
    <w:bookmarkStart w:id="39" w:name="section-6"/>
    <w:p>
      <w:pPr>
        <w:pStyle w:val="Heading2"/>
      </w:pPr>
      <w:r>
        <w:t xml:space="preserve">20</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2026-02-09T23:11:53Z</dcterms:created>
  <dcterms:modified xsi:type="dcterms:W3CDTF">2026-02-09T23:11:53Z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