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9" w:name="Xb6e6d6da5b038ef62cbfb3820e9763da7a2bf6f"/>
    <w:p>
      <w:pPr>
        <w:pStyle w:val="Heading2"/>
      </w:pPr>
      <w:r>
        <w:t xml:space="preserve">1 I’m Dr Jonathan Salo, a GI Cancer Surgeon at the in Charlotte, North Carolina. These videos are designed to educate you about cancer and its treatment and help you and you cancer care team make the right decisions for you.</w:t>
      </w:r>
    </w:p>
    <w:p>
      <w:pPr>
        <w:pStyle w:val="FirstParagraph"/>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is placed before each dose or doses of chemotherapy or immunotherapy and removed that same day</w:t>
      </w:r>
    </w:p>
    <w:p>
      <w:pPr>
        <w:pStyle w:val="BodyText"/>
      </w:pPr>
      <w:r>
        <w:t xml:space="preserve">A peripheral IV is not suitable for FLOT chemotherapy, which requires a 24-hour infusion</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two days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End w:id="9"/>
    <w:bookmarkStart w:id="10" w:name="malfunction"/>
    <w:p>
      <w:pPr>
        <w:pStyle w:val="Heading2"/>
      </w:pPr>
      <w:r>
        <w:t xml:space="preserve">2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2026-07-14T00:24:26Z</dcterms:created>
  <dcterms:modified xsi:type="dcterms:W3CDTF">2026-07-14T00:24:26Z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