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E2761"/>
          <w:sz w:val="36"/>
          <w:szCs w:val="36"/>
        </w:rPr>
        <w:t xml:space="preserve">Course Chapter Map — Corrected</w:t>
      </w:r>
    </w:p>
    <w:p>
      <w:pPr>
        <w:spacing w:after="160"/>
      </w:pPr>
      <w:r>
        <w:rPr>
          <w:rFonts w:ascii="Calibri" w:cs="Calibri" w:eastAsia="Calibri" w:hAnsi="Calibri"/>
          <w:i/>
          <w:iCs/>
          <w:color w:val="555555"/>
          <w:sz w:val="22"/>
          <w:szCs w:val="22"/>
        </w:rPr>
        <w:t xml:space="preserve">MTC Java Schedule vs. Murach's Java Programming, 6th Edition — real chapter titles</w:t>
      </w:r>
    </w:p>
    <w:p>
      <w:pPr>
        <w:spacing w:after="120"/>
      </w:pPr>
      <w:r>
        <w:rPr>
          <w:rFonts w:ascii="Calibri" w:cs="Calibri" w:eastAsia="Calibri" w:hAnsi="Calibri"/>
          <w:b w:val="false"/>
          <w:bCs w:val="false"/>
          <w:i w:val="false"/>
          <w:iCs w:val="false"/>
          <w:sz w:val="20"/>
          <w:szCs w:val="20"/>
        </w:rPr>
        <w:t xml:space="preserve">This cross-references the client's day-by-day schedule against the actual chapter titles and objectives in Murach's Java Programming (6th Ed.), pulled from the publisher's own Objectives document (covers all 19 chapters). It is based on chapter titles/objectives, not a page-by-page read of every chapter's full text — confirmed against the actual chapter text only for Chapters 3 and 4 so far.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170"/>
            <w:shd w:fill="1E2761" w:color="auto" w:val="clear"/>
            <w:tcMar>
              <w:top w:type="dxa" w:w="60"/>
              <w:left w:type="dxa" w:w="90"/>
              <w:bottom w:type="dxa" w:w="60"/>
              <w:right w:type="dxa" w:w="90"/>
            </w:tcMar>
          </w:tcPr>
          <w:p>
            <w:r>
              <w:rPr>
                <w:rFonts w:ascii="Calibri" w:cs="Calibri" w:eastAsia="Calibri" w:hAnsi="Calibri"/>
                <w:b/>
                <w:bCs/>
                <w:color w:val="FFFFFF"/>
                <w:sz w:val="17"/>
                <w:szCs w:val="17"/>
              </w:rPr>
              <w:t xml:space="preserve">Scheduled day</w:t>
            </w:r>
          </w:p>
        </w:tc>
        <w:tc>
          <w:tcPr>
            <w:tcW w:type="dxa" w:w="1710"/>
            <w:shd w:fill="1E2761" w:color="auto" w:val="clear"/>
            <w:tcMar>
              <w:top w:type="dxa" w:w="60"/>
              <w:left w:type="dxa" w:w="90"/>
              <w:bottom w:type="dxa" w:w="60"/>
              <w:right w:type="dxa" w:w="90"/>
            </w:tcMar>
          </w:tcPr>
          <w:p>
            <w:r>
              <w:rPr>
                <w:rFonts w:ascii="Calibri" w:cs="Calibri" w:eastAsia="Calibri" w:hAnsi="Calibri"/>
                <w:b/>
                <w:bCs/>
                <w:color w:val="FFFFFF"/>
                <w:sz w:val="17"/>
                <w:szCs w:val="17"/>
              </w:rPr>
              <w:t xml:space="preserve">Client's label</w:t>
            </w:r>
          </w:p>
        </w:tc>
        <w:tc>
          <w:tcPr>
            <w:tcW w:type="dxa" w:w="1620"/>
            <w:shd w:fill="1E2761" w:color="auto" w:val="clear"/>
            <w:tcMar>
              <w:top w:type="dxa" w:w="60"/>
              <w:left w:type="dxa" w:w="90"/>
              <w:bottom w:type="dxa" w:w="60"/>
              <w:right w:type="dxa" w:w="90"/>
            </w:tcMar>
          </w:tcPr>
          <w:p>
            <w:r>
              <w:rPr>
                <w:rFonts w:ascii="Calibri" w:cs="Calibri" w:eastAsia="Calibri" w:hAnsi="Calibri"/>
                <w:b/>
                <w:bCs/>
                <w:color w:val="FFFFFF"/>
                <w:sz w:val="17"/>
                <w:szCs w:val="17"/>
              </w:rPr>
              <w:t xml:space="preserve">Real chapter(s) / title</w:t>
            </w:r>
          </w:p>
        </w:tc>
        <w:tc>
          <w:tcPr>
            <w:tcW w:type="dxa" w:w="810"/>
            <w:shd w:fill="1E2761" w:color="auto" w:val="clear"/>
            <w:tcMar>
              <w:top w:type="dxa" w:w="60"/>
              <w:left w:type="dxa" w:w="90"/>
              <w:bottom w:type="dxa" w:w="60"/>
              <w:right w:type="dxa" w:w="90"/>
            </w:tcMar>
          </w:tcPr>
          <w:p>
            <w:r>
              <w:rPr>
                <w:rFonts w:ascii="Calibri" w:cs="Calibri" w:eastAsia="Calibri" w:hAnsi="Calibri"/>
                <w:b/>
                <w:bCs/>
                <w:color w:val="FFFFFF"/>
                <w:sz w:val="17"/>
                <w:szCs w:val="17"/>
              </w:rPr>
              <w:t xml:space="preserve">Status</w:t>
            </w:r>
          </w:p>
        </w:tc>
        <w:tc>
          <w:tcPr>
            <w:tcW w:type="dxa" w:w="3060"/>
            <w:shd w:fill="1E2761" w:color="auto" w:val="clear"/>
            <w:tcMar>
              <w:top w:type="dxa" w:w="60"/>
              <w:left w:type="dxa" w:w="90"/>
              <w:bottom w:type="dxa" w:w="60"/>
              <w:right w:type="dxa" w:w="90"/>
            </w:tcMar>
          </w:tcPr>
          <w:p>
            <w:r>
              <w:rPr>
                <w:rFonts w:ascii="Calibri" w:cs="Calibri" w:eastAsia="Calibri" w:hAnsi="Calibri"/>
                <w:b/>
                <w:bCs/>
                <w:color w:val="FFFFFF"/>
                <w:sz w:val="17"/>
                <w:szCs w:val="17"/>
              </w:rPr>
              <w:t xml:space="preserve">Note</w:t>
            </w:r>
          </w:p>
        </w:tc>
      </w:tr>
      <w:tr>
        <w:tc>
          <w:tcPr>
            <w:tcW w:type="dxa" w:w="117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Mon 8/17
(Day 1)</w:t>
            </w:r>
          </w:p>
        </w:tc>
        <w:tc>
          <w:tcPr>
            <w:tcW w:type="dxa" w:w="171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Chapters 1–2: Introduction, Tools, and First Program</w:t>
            </w:r>
          </w:p>
        </w:tc>
        <w:tc>
          <w:tcPr>
            <w:tcW w:type="dxa" w:w="162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1 “An introduction to Java”
Ch. 2 “How to write your first applications”</w:t>
            </w:r>
          </w:p>
        </w:tc>
        <w:tc>
          <w:tcPr>
            <w:tcW w:type="dxa" w:w="810"/>
            <w:shd w:fill="FFFFFF" w:color="auto" w:val="clear"/>
            <w:tcMar>
              <w:top w:type="dxa" w:w="60"/>
              <w:left w:type="dxa" w:w="90"/>
              <w:bottom w:type="dxa" w:w="60"/>
              <w:right w:type="dxa" w:w="90"/>
            </w:tcMar>
          </w:tcPr>
          <w:p>
            <w:r>
              <w:rPr>
                <w:rFonts w:ascii="Calibri" w:cs="Calibri" w:eastAsia="Calibri" w:hAnsi="Calibri"/>
                <w:b/>
                <w:bCs/>
                <w:color w:val="1E6B3A"/>
                <w:sz w:val="17"/>
                <w:szCs w:val="17"/>
              </w:rPr>
              <w:t xml:space="preserve">Match</w:t>
            </w:r>
          </w:p>
        </w:tc>
        <w:tc>
          <w:tcPr>
            <w:tcW w:type="dxa" w:w="306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Accurate as written.</w:t>
            </w:r>
          </w:p>
        </w:tc>
      </w:tr>
      <w:tr>
        <w:tc>
          <w:tcPr>
            <w:tcW w:type="dxa" w:w="117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Tue 8/18
(Day 2)</w:t>
            </w:r>
          </w:p>
        </w:tc>
        <w:tc>
          <w:tcPr>
            <w:tcW w:type="dxa" w:w="171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 3: Control Structures</w:t>
            </w:r>
          </w:p>
        </w:tc>
        <w:tc>
          <w:tcPr>
            <w:tcW w:type="dxa" w:w="162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3 “How to work with the primitive data types”</w:t>
            </w:r>
          </w:p>
        </w:tc>
        <w:tc>
          <w:tcPr>
            <w:tcW w:type="dxa" w:w="810"/>
            <w:shd w:fill="F2F2F2" w:color="auto" w:val="clear"/>
            <w:tcMar>
              <w:top w:type="dxa" w:w="60"/>
              <w:left w:type="dxa" w:w="90"/>
              <w:bottom w:type="dxa" w:w="60"/>
              <w:right w:type="dxa" w:w="90"/>
            </w:tcMar>
          </w:tcPr>
          <w:p>
            <w:r>
              <w:rPr>
                <w:rFonts w:ascii="Calibri" w:cs="Calibri" w:eastAsia="Calibri" w:hAnsi="Calibri"/>
                <w:b/>
                <w:bCs/>
                <w:color w:val="990011"/>
                <w:sz w:val="17"/>
                <w:szCs w:val="17"/>
              </w:rPr>
              <w:t xml:space="preserve">Mismatch</w:t>
            </w:r>
          </w:p>
        </w:tc>
        <w:tc>
          <w:tcPr>
            <w:tcW w:type="dxa" w:w="306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Real Ch. 3 is data types, operators, casting, the Math class, NumberFormat, and printf() — not control structures. Already corrected in the rebuilt Day 2 materials.</w:t>
            </w:r>
          </w:p>
        </w:tc>
      </w:tr>
      <w:tr>
        <w:tc>
          <w:tcPr>
            <w:tcW w:type="dxa" w:w="117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Wed 8/19
(Day 3)</w:t>
            </w:r>
          </w:p>
        </w:tc>
        <w:tc>
          <w:tcPr>
            <w:tcW w:type="dxa" w:w="171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Chapters 4–5: Validation and Methods</w:t>
            </w:r>
          </w:p>
        </w:tc>
        <w:tc>
          <w:tcPr>
            <w:tcW w:type="dxa" w:w="162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4 “How to code control statements”
Ch. 5 “How to code methods and handle exceptions”</w:t>
            </w:r>
          </w:p>
        </w:tc>
        <w:tc>
          <w:tcPr>
            <w:tcW w:type="dxa" w:w="810"/>
            <w:shd w:fill="FFFFFF" w:color="auto" w:val="clear"/>
            <w:tcMar>
              <w:top w:type="dxa" w:w="60"/>
              <w:left w:type="dxa" w:w="90"/>
              <w:bottom w:type="dxa" w:w="60"/>
              <w:right w:type="dxa" w:w="90"/>
            </w:tcMar>
          </w:tcPr>
          <w:p>
            <w:r>
              <w:rPr>
                <w:rFonts w:ascii="Calibri" w:cs="Calibri" w:eastAsia="Calibri" w:hAnsi="Calibri"/>
                <w:b/>
                <w:bCs/>
                <w:color w:val="8A6D00"/>
                <w:sz w:val="17"/>
                <w:szCs w:val="17"/>
              </w:rPr>
              <w:t xml:space="preserve">Partial</w:t>
            </w:r>
          </w:p>
        </w:tc>
        <w:tc>
          <w:tcPr>
            <w:tcW w:type="dxa" w:w="306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 numbers are right, but the label undersells Ch. 4 (if/else, switch, while/do-while/for, break/continue) and only captures part of Ch. 5. Likely too much content for one day — current materials split Ch. 5 into Day 4.</w:t>
            </w:r>
          </w:p>
        </w:tc>
      </w:tr>
      <w:tr>
        <w:tc>
          <w:tcPr>
            <w:tcW w:type="dxa" w:w="117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Thu 8/20
(Day 4)</w:t>
            </w:r>
          </w:p>
        </w:tc>
        <w:tc>
          <w:tcPr>
            <w:tcW w:type="dxa" w:w="171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 6: Classes and Objects</w:t>
            </w:r>
          </w:p>
        </w:tc>
        <w:tc>
          <w:tcPr>
            <w:tcW w:type="dxa" w:w="162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6 “How to test and debug an application”</w:t>
            </w:r>
          </w:p>
        </w:tc>
        <w:tc>
          <w:tcPr>
            <w:tcW w:type="dxa" w:w="810"/>
            <w:shd w:fill="F2F2F2" w:color="auto" w:val="clear"/>
            <w:tcMar>
              <w:top w:type="dxa" w:w="60"/>
              <w:left w:type="dxa" w:w="90"/>
              <w:bottom w:type="dxa" w:w="60"/>
              <w:right w:type="dxa" w:w="90"/>
            </w:tcMar>
          </w:tcPr>
          <w:p>
            <w:r>
              <w:rPr>
                <w:rFonts w:ascii="Calibri" w:cs="Calibri" w:eastAsia="Calibri" w:hAnsi="Calibri"/>
                <w:b/>
                <w:bCs/>
                <w:color w:val="990011"/>
                <w:sz w:val="17"/>
                <w:szCs w:val="17"/>
              </w:rPr>
              <w:t xml:space="preserve">Mismatch</w:t>
            </w:r>
          </w:p>
        </w:tc>
        <w:tc>
          <w:tcPr>
            <w:tcW w:type="dxa" w:w="306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Real classes chapter is Ch. 7. Current Day 4 materials (per Day 3’s own preview) actually plan to cover validation/methods (real Ch. 5), not testing/debugging or classes.</w:t>
            </w:r>
          </w:p>
        </w:tc>
      </w:tr>
      <w:tr>
        <w:tc>
          <w:tcPr>
            <w:tcW w:type="dxa" w:w="117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Fri 8/21
(Day 5)</w:t>
            </w:r>
          </w:p>
        </w:tc>
        <w:tc>
          <w:tcPr>
            <w:tcW w:type="dxa" w:w="171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Chapters 7–8: Inheritance and Interfaces</w:t>
            </w:r>
          </w:p>
        </w:tc>
        <w:tc>
          <w:tcPr>
            <w:tcW w:type="dxa" w:w="162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7 “How to code classes”
Ch. 8 “How to work with arrays and array lists”</w:t>
            </w:r>
          </w:p>
        </w:tc>
        <w:tc>
          <w:tcPr>
            <w:tcW w:type="dxa" w:w="810"/>
            <w:shd w:fill="FFFFFF" w:color="auto" w:val="clear"/>
            <w:tcMar>
              <w:top w:type="dxa" w:w="60"/>
              <w:left w:type="dxa" w:w="90"/>
              <w:bottom w:type="dxa" w:w="60"/>
              <w:right w:type="dxa" w:w="90"/>
            </w:tcMar>
          </w:tcPr>
          <w:p>
            <w:r>
              <w:rPr>
                <w:rFonts w:ascii="Calibri" w:cs="Calibri" w:eastAsia="Calibri" w:hAnsi="Calibri"/>
                <w:b/>
                <w:bCs/>
                <w:color w:val="990011"/>
                <w:sz w:val="17"/>
                <w:szCs w:val="17"/>
              </w:rPr>
              <w:t xml:space="preserve">Mismatch</w:t>
            </w:r>
          </w:p>
        </w:tc>
        <w:tc>
          <w:tcPr>
            <w:tcW w:type="dxa" w:w="306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Real inheritance is Ch. 10; real interfaces are covered in Ch. 11 (“More skills for OOP”).</w:t>
            </w:r>
          </w:p>
        </w:tc>
      </w:tr>
      <w:tr>
        <w:tc>
          <w:tcPr>
            <w:tcW w:type="dxa" w:w="117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Mon 8/24
(Day 6)</w:t>
            </w:r>
          </w:p>
        </w:tc>
        <w:tc>
          <w:tcPr>
            <w:tcW w:type="dxa" w:w="171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Chapters 9–10: Polymorphism and Collections</w:t>
            </w:r>
          </w:p>
        </w:tc>
        <w:tc>
          <w:tcPr>
            <w:tcW w:type="dxa" w:w="162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9 “How to work with file I/O and exceptions”
Ch. 10 “How to work with inheritance”</w:t>
            </w:r>
          </w:p>
        </w:tc>
        <w:tc>
          <w:tcPr>
            <w:tcW w:type="dxa" w:w="810"/>
            <w:shd w:fill="F2F2F2" w:color="auto" w:val="clear"/>
            <w:tcMar>
              <w:top w:type="dxa" w:w="60"/>
              <w:left w:type="dxa" w:w="90"/>
              <w:bottom w:type="dxa" w:w="60"/>
              <w:right w:type="dxa" w:w="90"/>
            </w:tcMar>
          </w:tcPr>
          <w:p>
            <w:r>
              <w:rPr>
                <w:rFonts w:ascii="Calibri" w:cs="Calibri" w:eastAsia="Calibri" w:hAnsi="Calibri"/>
                <w:b/>
                <w:bCs/>
                <w:color w:val="990011"/>
                <w:sz w:val="17"/>
                <w:szCs w:val="17"/>
              </w:rPr>
              <w:t xml:space="preserve">Mismatch</w:t>
            </w:r>
          </w:p>
        </w:tc>
        <w:tc>
          <w:tcPr>
            <w:tcW w:type="dxa" w:w="306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Polymorphism is a sub-topic inside Ch. 10 (inheritance), not its own chapter. Dedicated collections content is really Ch. 8 (array lists) and Ch. 15 (more collections).</w:t>
            </w:r>
          </w:p>
        </w:tc>
      </w:tr>
      <w:tr>
        <w:tc>
          <w:tcPr>
            <w:tcW w:type="dxa" w:w="117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Tue 8/25
(Day 7)</w:t>
            </w:r>
          </w:p>
        </w:tc>
        <w:tc>
          <w:tcPr>
            <w:tcW w:type="dxa" w:w="171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 11: Generics</w:t>
            </w:r>
          </w:p>
        </w:tc>
        <w:tc>
          <w:tcPr>
            <w:tcW w:type="dxa" w:w="162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11 “More skills for object-oriented programming” (interfaces, enums, packages, modules)</w:t>
            </w:r>
          </w:p>
        </w:tc>
        <w:tc>
          <w:tcPr>
            <w:tcW w:type="dxa" w:w="810"/>
            <w:shd w:fill="FFFFFF" w:color="auto" w:val="clear"/>
            <w:tcMar>
              <w:top w:type="dxa" w:w="60"/>
              <w:left w:type="dxa" w:w="90"/>
              <w:bottom w:type="dxa" w:w="60"/>
              <w:right w:type="dxa" w:w="90"/>
            </w:tcMar>
          </w:tcPr>
          <w:p>
            <w:r>
              <w:rPr>
                <w:rFonts w:ascii="Calibri" w:cs="Calibri" w:eastAsia="Calibri" w:hAnsi="Calibri"/>
                <w:b/>
                <w:bCs/>
                <w:color w:val="990011"/>
                <w:sz w:val="17"/>
                <w:szCs w:val="17"/>
              </w:rPr>
              <w:t xml:space="preserve">Mismatch</w:t>
            </w:r>
          </w:p>
        </w:tc>
        <w:tc>
          <w:tcPr>
            <w:tcW w:type="dxa" w:w="306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The book has no single dedicated generics chapter — generics appear briefly in Ch. 8 (array lists, diamond operator) and Ch. 15 (custom collections).</w:t>
            </w:r>
          </w:p>
        </w:tc>
      </w:tr>
      <w:tr>
        <w:tc>
          <w:tcPr>
            <w:tcW w:type="dxa" w:w="117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Wed 8/26
(Day 8)</w:t>
            </w:r>
          </w:p>
        </w:tc>
        <w:tc>
          <w:tcPr>
            <w:tcW w:type="dxa" w:w="171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 14: Strings</w:t>
            </w:r>
          </w:p>
        </w:tc>
        <w:tc>
          <w:tcPr>
            <w:tcW w:type="dxa" w:w="162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14 “More skills for working with strings”</w:t>
            </w:r>
          </w:p>
        </w:tc>
        <w:tc>
          <w:tcPr>
            <w:tcW w:type="dxa" w:w="810"/>
            <w:shd w:fill="F2F2F2" w:color="auto" w:val="clear"/>
            <w:tcMar>
              <w:top w:type="dxa" w:w="60"/>
              <w:left w:type="dxa" w:w="90"/>
              <w:bottom w:type="dxa" w:w="60"/>
              <w:right w:type="dxa" w:w="90"/>
            </w:tcMar>
          </w:tcPr>
          <w:p>
            <w:r>
              <w:rPr>
                <w:rFonts w:ascii="Calibri" w:cs="Calibri" w:eastAsia="Calibri" w:hAnsi="Calibri"/>
                <w:b/>
                <w:bCs/>
                <w:color w:val="1E6B3A"/>
                <w:sz w:val="17"/>
                <w:szCs w:val="17"/>
              </w:rPr>
              <w:t xml:space="preserve">Match</w:t>
            </w:r>
          </w:p>
        </w:tc>
        <w:tc>
          <w:tcPr>
            <w:tcW w:type="dxa" w:w="306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Accurate as written.</w:t>
            </w:r>
          </w:p>
        </w:tc>
      </w:tr>
      <w:tr>
        <w:tc>
          <w:tcPr>
            <w:tcW w:type="dxa" w:w="117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Thu 8/27
(Day 9)</w:t>
            </w:r>
          </w:p>
        </w:tc>
        <w:tc>
          <w:tcPr>
            <w:tcW w:type="dxa" w:w="171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JDBC Basics, H2, and DAO Pattern</w:t>
            </w:r>
          </w:p>
        </w:tc>
        <w:tc>
          <w:tcPr>
            <w:tcW w:type="dxa" w:w="162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19 “How to work with a database”</w:t>
            </w:r>
          </w:p>
        </w:tc>
        <w:tc>
          <w:tcPr>
            <w:tcW w:type="dxa" w:w="810"/>
            <w:shd w:fill="FFFFFF" w:color="auto" w:val="clear"/>
            <w:tcMar>
              <w:top w:type="dxa" w:w="60"/>
              <w:left w:type="dxa" w:w="90"/>
              <w:bottom w:type="dxa" w:w="60"/>
              <w:right w:type="dxa" w:w="90"/>
            </w:tcMar>
          </w:tcPr>
          <w:p>
            <w:r>
              <w:rPr>
                <w:rFonts w:ascii="Calibri" w:cs="Calibri" w:eastAsia="Calibri" w:hAnsi="Calibri"/>
                <w:b/>
                <w:bCs/>
                <w:color w:val="8A6D00"/>
                <w:sz w:val="17"/>
                <w:szCs w:val="17"/>
              </w:rPr>
              <w:t xml:space="preserve">Related</w:t>
            </w:r>
          </w:p>
        </w:tc>
        <w:tc>
          <w:tcPr>
            <w:tcW w:type="dxa" w:w="3060"/>
            <w:shd w:fill="FFFFFF"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No chapter number was cited by the client. Thematically close to Ch. 19, but H2 and the DAO pattern aren’t standard Murach topics — likely supplemental instructor material layered on top.</w:t>
            </w:r>
          </w:p>
        </w:tc>
      </w:tr>
      <w:tr>
        <w:tc>
          <w:tcPr>
            <w:tcW w:type="dxa" w:w="117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Fri 8/28
(Day 10)</w:t>
            </w:r>
          </w:p>
        </w:tc>
        <w:tc>
          <w:tcPr>
            <w:tcW w:type="dxa" w:w="171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Chapter 15: Lambdas and Streams, plus Capstone</w:t>
            </w:r>
          </w:p>
        </w:tc>
        <w:tc>
          <w:tcPr>
            <w:tcW w:type="dxa" w:w="162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Ch. 16 “How to work with lambda expressions and streams”</w:t>
            </w:r>
          </w:p>
        </w:tc>
        <w:tc>
          <w:tcPr>
            <w:tcW w:type="dxa" w:w="810"/>
            <w:shd w:fill="F2F2F2" w:color="auto" w:val="clear"/>
            <w:tcMar>
              <w:top w:type="dxa" w:w="60"/>
              <w:left w:type="dxa" w:w="90"/>
              <w:bottom w:type="dxa" w:w="60"/>
              <w:right w:type="dxa" w:w="90"/>
            </w:tcMar>
          </w:tcPr>
          <w:p>
            <w:r>
              <w:rPr>
                <w:rFonts w:ascii="Calibri" w:cs="Calibri" w:eastAsia="Calibri" w:hAnsi="Calibri"/>
                <w:b/>
                <w:bCs/>
                <w:color w:val="990011"/>
                <w:sz w:val="17"/>
                <w:szCs w:val="17"/>
              </w:rPr>
              <w:t xml:space="preserve">Mismatch</w:t>
            </w:r>
          </w:p>
        </w:tc>
        <w:tc>
          <w:tcPr>
            <w:tcW w:type="dxa" w:w="3060"/>
            <w:shd w:fill="F2F2F2" w:color="auto" w:val="clear"/>
            <w:tcMar>
              <w:top w:type="dxa" w:w="60"/>
              <w:left w:type="dxa" w:w="90"/>
              <w:bottom w:type="dxa" w:w="60"/>
              <w:right w:type="dxa" w:w="90"/>
            </w:tcMar>
          </w:tcPr>
          <w:p>
            <w:r>
              <w:rPr>
                <w:rFonts w:ascii="Calibri" w:cs="Calibri" w:eastAsia="Calibri" w:hAnsi="Calibri"/>
                <w:b w:val="false"/>
                <w:bCs w:val="false"/>
                <w:color w:val="1B1B1B"/>
                <w:sz w:val="17"/>
                <w:szCs w:val="17"/>
              </w:rPr>
              <w:t xml:space="preserve">Real Ch. 15 is “More skills for working with collections.”</w:t>
            </w:r>
          </w:p>
        </w:tc>
      </w:tr>
    </w:tbl>
    <w:p>
      <w:pPr>
        <w:pStyle w:val="Heading1"/>
        <w:spacing w:after="140" w:before="280"/>
      </w:pPr>
      <w:r>
        <w:rPr>
          <w:rFonts w:ascii="Calibri" w:cs="Calibri" w:eastAsia="Calibri" w:hAnsi="Calibri"/>
          <w:b/>
          <w:bCs/>
          <w:color w:val="1E2761"/>
          <w:sz w:val="26"/>
          <w:szCs w:val="26"/>
        </w:rPr>
        <w:t xml:space="preserve">What this means in practice</w:t>
      </w:r>
    </w:p>
    <w:p>
      <w:pPr>
        <w:pStyle w:val="ListParagraph"/>
        <w:numPr>
          <w:ilvl w:val="0"/>
          <w:numId w:val="2"/>
        </w:numPr>
        <w:spacing w:after="60"/>
      </w:pPr>
      <w:r>
        <w:rPr>
          <w:rFonts w:ascii="Calibri" w:cs="Calibri" w:eastAsia="Calibri" w:hAnsi="Calibri"/>
          <w:sz w:val="20"/>
          <w:szCs w:val="20"/>
        </w:rPr>
        <w:t xml:space="preserve">Only two days are labeled accurately: Day 1 (Ch. 1–2) and Week 2's Wednesday (Ch. 14, Strings).</w:t>
      </w:r>
    </w:p>
    <w:p>
      <w:pPr>
        <w:pStyle w:val="ListParagraph"/>
        <w:numPr>
          <w:ilvl w:val="0"/>
          <w:numId w:val="2"/>
        </w:numPr>
        <w:spacing w:after="60"/>
      </w:pPr>
      <w:r>
        <w:rPr>
          <w:rFonts w:ascii="Calibri" w:cs="Calibri" w:eastAsia="Calibri" w:hAnsi="Calibri"/>
          <w:sz w:val="20"/>
          <w:szCs w:val="20"/>
        </w:rPr>
        <w:t xml:space="preserve">The mismatch generally gets worse as the course goes on — by week 2, cited chapter numbers are consistently several chapters removed from the topic actually being taught.</w:t>
      </w:r>
    </w:p>
    <w:p>
      <w:pPr>
        <w:pStyle w:val="ListParagraph"/>
        <w:numPr>
          <w:ilvl w:val="0"/>
          <w:numId w:val="2"/>
        </w:numPr>
        <w:spacing w:after="60"/>
      </w:pPr>
      <w:r>
        <w:rPr>
          <w:rFonts w:ascii="Calibri" w:cs="Calibri" w:eastAsia="Calibri" w:hAnsi="Calibri"/>
          <w:sz w:val="20"/>
          <w:szCs w:val="20"/>
        </w:rPr>
        <w:t xml:space="preserve">It's not clear which is authoritative: the chapter NUMBER the client wrote, or the DESCRIPTIVE topic next to it. For most days they point to different chapters entirely, so this is worth confirming with the client rather than guessing.</w:t>
      </w:r>
    </w:p>
    <w:p>
      <w:pPr>
        <w:pStyle w:val="ListParagraph"/>
        <w:numPr>
          <w:ilvl w:val="0"/>
          <w:numId w:val="2"/>
        </w:numPr>
        <w:spacing w:after="60"/>
      </w:pPr>
      <w:r>
        <w:rPr>
          <w:rFonts w:ascii="Calibri" w:cs="Calibri" w:eastAsia="Calibri" w:hAnsi="Calibri"/>
          <w:sz w:val="20"/>
          <w:szCs w:val="20"/>
        </w:rPr>
        <w:t xml:space="preserve">The week-2 OOP sequence (inheritance / interfaces on 8/24–8/25) is scheduled well before its prerequisite chapters (classes = Ch. 7, arrays = Ch. 8, file I/O = Ch. 9) would normally appear in the book's own order — worth flagging as a possible sequencing gap, not just a labeling one.</w:t>
      </w:r>
    </w:p>
    <w:p>
      <w:pPr>
        <w:pStyle w:val="ListParagraph"/>
        <w:numPr>
          <w:ilvl w:val="0"/>
          <w:numId w:val="2"/>
        </w:numPr>
        <w:spacing w:after="60"/>
      </w:pPr>
      <w:r>
        <w:rPr>
          <w:rFonts w:ascii="Calibri" w:cs="Calibri" w:eastAsia="Calibri" w:hAnsi="Calibri"/>
          <w:sz w:val="20"/>
          <w:szCs w:val="20"/>
        </w:rPr>
        <w:t xml:space="preserve">If the client or students ever reference “Chapter X” from the schedule expecting to find that day's topic in their own copy of the book, they'll likely land on the wrong chapter. Worth agreeing with the client on one convention for student-facing communication.</w:t>
      </w:r>
    </w:p>
    <w:sectPr>
      <w:pgSz w:w="15840" w:h="12240"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2026-08-18T01:45:28.229Z</dcterms:created>
  <dcterms:modified xsi:type="dcterms:W3CDTF">2026-08-18T01:45:28.244Z</dcterms:modified>
</cp:coreProperties>
</file>

<file path=docProps/custom.xml><?xml version="1.0" encoding="utf-8"?>
<Properties xmlns="http://schemas.openxmlformats.org/officeDocument/2006/custom-properties" xmlns:vt="http://schemas.openxmlformats.org/officeDocument/2006/docPropsVTypes"/>
</file>