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jc w:val="left"/>
      </w:pPr>
      <w:r>
        <w:rPr>
          <w:rFonts w:ascii="Calibri" w:cs="Calibri" w:eastAsia="Calibri" w:hAnsi="Calibri"/>
          <w:b/>
          <w:bCs/>
          <w:color w:val="2E75B6"/>
          <w:spacing w:val="60"/>
          <w:sz w:val="22"/>
          <w:szCs w:val="22"/>
        </w:rPr>
        <w:t xml:space="preserve">PROPUESTA COMERCIAL</w:t>
      </w:r>
    </w:p>
    <w:p>
      <w:pPr>
        <w:spacing w:after="120"/>
      </w:pPr>
      <w:r>
        <w:rPr>
          <w:rFonts w:ascii="Calibri" w:cs="Calibri" w:eastAsia="Calibri" w:hAnsi="Calibri"/>
          <w:b/>
          <w:bCs/>
          <w:color w:val="1F4E79"/>
          <w:sz w:val="52"/>
          <w:szCs w:val="52"/>
        </w:rPr>
        <w:t xml:space="preserve">Sistema de Gestión Empresarial (ERP)</w:t>
      </w:r>
    </w:p>
    <w:p>
      <w:pPr>
        <w:spacing w:after="400"/>
      </w:pPr>
      <w:r>
        <w:rPr>
          <w:rFonts w:ascii="Calibri" w:cs="Calibri" w:eastAsia="Calibri" w:hAnsi="Calibri"/>
          <w:color w:val="595959"/>
          <w:sz w:val="34"/>
          <w:szCs w:val="34"/>
        </w:rPr>
        <w:t xml:space="preserve">y Catálogo Digital con Carrito de Compras</w:t>
      </w:r>
    </w:p>
    <w:p>
      <w:pPr>
        <w:pBdr>
          <w:top w:val="single" w:color="2E75B6" w:sz="12" w:space="8"/>
        </w:pBdr>
        <w:spacing w:after="60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7160"/>
      </w:tblGrid>
      <w:tr>
        <w:trPr>
          <w:cantSplit/>
          <w:tblHeader w:val="false"/>
        </w:trPr>
        <w:tc>
          <w:tcPr>
            <w:tcW w:type="dxa" w:w="2200"/>
            <w:shd w:fill="FFFFFF" w:color="auto" w:val="clear"/>
            <w:tcMar>
              <w:top w:type="dxa" w:w="80"/>
              <w:left w:type="dxa" w:w="110"/>
              <w:bottom w:type="dxa" w:w="80"/>
              <w:right w:type="dxa" w:w="110"/>
            </w:tcMar>
            <w:vAlign w:val="center"/>
          </w:tcPr>
          <w:p>
            <w:pPr>
              <w:spacing w:after="0" w:line="260"/>
            </w:pPr>
            <w:r>
              <w:rPr>
                <w:rFonts w:ascii="Calibri" w:cs="Calibri" w:eastAsia="Calibri" w:hAnsi="Calibri"/>
                <w:b/>
                <w:bCs/>
                <w:color w:val="1F4E79"/>
                <w:sz w:val="20"/>
                <w:szCs w:val="20"/>
              </w:rPr>
              <w:t xml:space="preserve">Preparado para</w:t>
            </w:r>
          </w:p>
        </w:tc>
        <w:tc>
          <w:tcPr>
            <w:tcW w:type="dxa" w:w="7160"/>
            <w:shd w:fill="FFFFFF" w:color="auto" w:val="clear"/>
            <w:tcMar>
              <w:top w:type="dxa" w:w="80"/>
              <w:left w:type="dxa" w:w="110"/>
              <w:bottom w:type="dxa" w:w="80"/>
              <w:right w:type="dxa" w:w="110"/>
            </w:tcMar>
            <w:vAlign w:val="center"/>
          </w:tcPr>
          <w:p>
            <w:pPr>
              <w:spacing w:after="0" w:line="260"/>
            </w:pPr>
            <w:r>
              <w:rPr>
                <w:rFonts w:ascii="Calibri" w:cs="Calibri" w:eastAsia="Calibri" w:hAnsi="Calibri"/>
                <w:b/>
                <w:bCs/>
                <w:color w:val="000000"/>
                <w:sz w:val="22"/>
                <w:szCs w:val="22"/>
              </w:rPr>
              <w:t xml:space="preserve">TotalVet</w:t>
            </w:r>
          </w:p>
        </w:tc>
      </w:tr>
      <w:tr>
        <w:trPr>
          <w:cantSplit/>
          <w:tblHeader w:val="false"/>
        </w:trPr>
        <w:tc>
          <w:tcPr>
            <w:tcW w:type="dxa" w:w="2200"/>
            <w:shd w:fill="FFFFFF" w:color="auto" w:val="clear"/>
            <w:tcMar>
              <w:top w:type="dxa" w:w="80"/>
              <w:left w:type="dxa" w:w="110"/>
              <w:bottom w:type="dxa" w:w="80"/>
              <w:right w:type="dxa" w:w="110"/>
            </w:tcMar>
            <w:vAlign w:val="center"/>
          </w:tcPr>
          <w:p>
            <w:pPr>
              <w:spacing w:after="0" w:line="260"/>
            </w:pPr>
            <w:r>
              <w:rPr>
                <w:rFonts w:ascii="Calibri" w:cs="Calibri" w:eastAsia="Calibri" w:hAnsi="Calibri"/>
                <w:b/>
                <w:bCs/>
                <w:color w:val="1F4E79"/>
                <w:sz w:val="20"/>
                <w:szCs w:val="20"/>
              </w:rPr>
              <w:t xml:space="preserve">Contacto</w:t>
            </w:r>
          </w:p>
        </w:tc>
        <w:tc>
          <w:tcPr>
            <w:tcW w:type="dxa" w:w="7160"/>
            <w:shd w:fill="FFFFFF" w:color="auto" w:val="clear"/>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Vanessa Herrera</w:t>
            </w:r>
          </w:p>
        </w:tc>
      </w:tr>
      <w:tr>
        <w:trPr>
          <w:cantSplit/>
          <w:tblHeader w:val="false"/>
        </w:trPr>
        <w:tc>
          <w:tcPr>
            <w:tcW w:type="dxa" w:w="2200"/>
            <w:shd w:fill="FFFFFF" w:color="auto" w:val="clear"/>
            <w:tcMar>
              <w:top w:type="dxa" w:w="80"/>
              <w:left w:type="dxa" w:w="110"/>
              <w:bottom w:type="dxa" w:w="80"/>
              <w:right w:type="dxa" w:w="110"/>
            </w:tcMar>
            <w:vAlign w:val="center"/>
          </w:tcPr>
          <w:p>
            <w:pPr>
              <w:spacing w:after="0" w:line="260"/>
            </w:pPr>
            <w:r>
              <w:rPr>
                <w:rFonts w:ascii="Calibri" w:cs="Calibri" w:eastAsia="Calibri" w:hAnsi="Calibri"/>
                <w:b/>
                <w:bCs/>
                <w:color w:val="1F4E79"/>
                <w:sz w:val="20"/>
                <w:szCs w:val="20"/>
              </w:rPr>
              <w:t xml:space="preserve">País</w:t>
            </w:r>
          </w:p>
        </w:tc>
        <w:tc>
          <w:tcPr>
            <w:tcW w:type="dxa" w:w="7160"/>
            <w:shd w:fill="FFFFFF" w:color="auto" w:val="clear"/>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México</w:t>
            </w:r>
          </w:p>
        </w:tc>
      </w:tr>
      <w:tr>
        <w:trPr>
          <w:cantSplit/>
          <w:tblHeader w:val="false"/>
        </w:trPr>
        <w:tc>
          <w:tcPr>
            <w:tcW w:type="dxa" w:w="2200"/>
            <w:shd w:fill="FFFFFF" w:color="auto" w:val="clear"/>
            <w:tcMar>
              <w:top w:type="dxa" w:w="80"/>
              <w:left w:type="dxa" w:w="110"/>
              <w:bottom w:type="dxa" w:w="80"/>
              <w:right w:type="dxa" w:w="110"/>
            </w:tcMar>
            <w:vAlign w:val="center"/>
          </w:tcPr>
          <w:p>
            <w:pPr>
              <w:spacing w:after="0" w:line="260"/>
            </w:pPr>
            <w:r>
              <w:rPr>
                <w:rFonts w:ascii="Calibri" w:cs="Calibri" w:eastAsia="Calibri" w:hAnsi="Calibri"/>
                <w:b/>
                <w:bCs/>
                <w:color w:val="1F4E79"/>
                <w:sz w:val="20"/>
                <w:szCs w:val="20"/>
              </w:rPr>
              <w:t xml:space="preserve">Preparado por</w:t>
            </w:r>
          </w:p>
        </w:tc>
        <w:tc>
          <w:tcPr>
            <w:tcW w:type="dxa" w:w="7160"/>
            <w:shd w:fill="FFFFFF" w:color="auto" w:val="clear"/>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JCS Emprende</w:t>
            </w:r>
          </w:p>
        </w:tc>
      </w:tr>
      <w:tr>
        <w:trPr>
          <w:cantSplit/>
          <w:tblHeader w:val="false"/>
        </w:trPr>
        <w:tc>
          <w:tcPr>
            <w:tcW w:type="dxa" w:w="2200"/>
            <w:shd w:fill="FFFFFF" w:color="auto" w:val="clear"/>
            <w:tcMar>
              <w:top w:type="dxa" w:w="80"/>
              <w:left w:type="dxa" w:w="110"/>
              <w:bottom w:type="dxa" w:w="80"/>
              <w:right w:type="dxa" w:w="110"/>
            </w:tcMar>
            <w:vAlign w:val="center"/>
          </w:tcPr>
          <w:p>
            <w:pPr>
              <w:spacing w:after="0" w:line="260"/>
            </w:pPr>
            <w:r>
              <w:rPr>
                <w:rFonts w:ascii="Calibri" w:cs="Calibri" w:eastAsia="Calibri" w:hAnsi="Calibri"/>
                <w:b/>
                <w:bCs/>
                <w:color w:val="1F4E79"/>
                <w:sz w:val="20"/>
                <w:szCs w:val="20"/>
              </w:rPr>
              <w:t xml:space="preserve">Fecha</w:t>
            </w:r>
          </w:p>
        </w:tc>
        <w:tc>
          <w:tcPr>
            <w:tcW w:type="dxa" w:w="7160"/>
            <w:shd w:fill="FFFFFF" w:color="auto" w:val="clear"/>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19 de agosto de 2026</w:t>
            </w:r>
          </w:p>
        </w:tc>
      </w:tr>
      <w:tr>
        <w:trPr>
          <w:cantSplit/>
          <w:tblHeader w:val="false"/>
        </w:trPr>
        <w:tc>
          <w:tcPr>
            <w:tcW w:type="dxa" w:w="2200"/>
            <w:shd w:fill="FFFFFF" w:color="auto" w:val="clear"/>
            <w:tcMar>
              <w:top w:type="dxa" w:w="80"/>
              <w:left w:type="dxa" w:w="110"/>
              <w:bottom w:type="dxa" w:w="80"/>
              <w:right w:type="dxa" w:w="110"/>
            </w:tcMar>
            <w:vAlign w:val="center"/>
          </w:tcPr>
          <w:p>
            <w:pPr>
              <w:spacing w:after="0" w:line="260"/>
            </w:pPr>
            <w:r>
              <w:rPr>
                <w:rFonts w:ascii="Calibri" w:cs="Calibri" w:eastAsia="Calibri" w:hAnsi="Calibri"/>
                <w:b/>
                <w:bCs/>
                <w:color w:val="1F4E79"/>
                <w:sz w:val="20"/>
                <w:szCs w:val="20"/>
              </w:rPr>
              <w:t xml:space="preserve">Vigencia</w:t>
            </w:r>
          </w:p>
        </w:tc>
        <w:tc>
          <w:tcPr>
            <w:tcW w:type="dxa" w:w="7160"/>
            <w:shd w:fill="FFFFFF" w:color="auto" w:val="clear"/>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30 días calendario a partir de la fecha de emisión</w:t>
            </w:r>
          </w:p>
        </w:tc>
      </w:tr>
      <w:tr>
        <w:trPr>
          <w:cantSplit/>
          <w:tblHeader w:val="false"/>
        </w:trPr>
        <w:tc>
          <w:tcPr>
            <w:tcW w:type="dxa" w:w="2200"/>
            <w:shd w:fill="FFFFFF" w:color="auto" w:val="clear"/>
            <w:tcMar>
              <w:top w:type="dxa" w:w="80"/>
              <w:left w:type="dxa" w:w="110"/>
              <w:bottom w:type="dxa" w:w="80"/>
              <w:right w:type="dxa" w:w="110"/>
            </w:tcMar>
            <w:vAlign w:val="center"/>
          </w:tcPr>
          <w:p>
            <w:pPr>
              <w:spacing w:after="0" w:line="260"/>
            </w:pPr>
            <w:r>
              <w:rPr>
                <w:rFonts w:ascii="Calibri" w:cs="Calibri" w:eastAsia="Calibri" w:hAnsi="Calibri"/>
                <w:b/>
                <w:bCs/>
                <w:color w:val="1F4E79"/>
                <w:sz w:val="20"/>
                <w:szCs w:val="20"/>
              </w:rPr>
              <w:t xml:space="preserve">Moneda</w:t>
            </w:r>
          </w:p>
        </w:tc>
        <w:tc>
          <w:tcPr>
            <w:tcW w:type="dxa" w:w="7160"/>
            <w:shd w:fill="FFFFFF" w:color="auto" w:val="clear"/>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Pesos colombianos (COP)</w:t>
            </w:r>
          </w:p>
        </w:tc>
      </w:tr>
    </w:tbl>
    <w:p>
      <w:r>
        <w:br w:type="page"/>
      </w:r>
    </w:p>
    <w:p>
      <w:pPr>
        <w:pStyle w:val="Heading1"/>
        <w:pBdr>
          <w:bottom w:val="single" w:color="2E75B6" w:sz="8" w:space="4"/>
        </w:pBdr>
        <w:spacing w:after="160" w:before="320"/>
      </w:pPr>
      <w:r>
        <w:rPr>
          <w:rFonts w:ascii="Calibri" w:cs="Calibri" w:eastAsia="Calibri" w:hAnsi="Calibri"/>
          <w:b/>
          <w:bCs/>
          <w:color w:val="1F4E79"/>
          <w:sz w:val="28"/>
          <w:szCs w:val="28"/>
        </w:rPr>
        <w:t xml:space="preserve">1. Resumen ejecutivo</w:t>
      </w:r>
    </w:p>
    <w:p>
      <w:pPr>
        <w:spacing w:after="120" w:before="0" w:line="276"/>
      </w:pPr>
      <w:r>
        <w:rPr>
          <w:rFonts w:ascii="Calibri" w:cs="Calibri" w:eastAsia="Calibri" w:hAnsi="Calibri"/>
          <w:color w:val="000000"/>
          <w:sz w:val="21"/>
          <w:szCs w:val="21"/>
        </w:rPr>
        <w:t xml:space="preserve">TotalVet requiere centralizar en una sola herramienta la operación comercial y administrativa del negocio: compras, inventario, ventas, comisiones de vendedores, cartera y control de rentabilidad, además de una vitrina digital que permita a sus clientes consultar productos y armar pedidos en línea.</w:t>
      </w:r>
    </w:p>
    <w:p>
      <w:pPr>
        <w:spacing w:after="120" w:before="0" w:line="276"/>
      </w:pPr>
      <w:r>
        <w:rPr>
          <w:rFonts w:ascii="Calibri" w:cs="Calibri" w:eastAsia="Calibri" w:hAnsi="Calibri"/>
          <w:color w:val="000000"/>
          <w:sz w:val="21"/>
          <w:szCs w:val="21"/>
        </w:rPr>
        <w:t xml:space="preserve">Esta propuesta contempla la implementación de un Sistema de Gestión Empresarial (ERP) estándar configurable, desarrollado por JCS Emprende, personalizado para la identidad y la operación de TotalVet, más un Catálogo Digital con carrito de compras conectado en tiempo real al inventario y a las listas de precios del sistema.</w:t>
      </w:r>
    </w:p>
    <w:p>
      <w:pPr>
        <w:spacing w:after="60"/>
      </w:pPr>
    </w:p>
    <w:tbl>
      <w:tblPr>
        <w:tblW w:type="dxa" w:w="9360"/>
        <w:tblBorders>
          <w:top w:val="single" w:color="EAF1F8" w:sz="2"/>
          <w:left w:val="single" w:color="1F4E79" w:sz="18"/>
          <w:bottom w:val="single" w:color="EAF1F8" w:sz="2"/>
          <w:right w:val="single" w:color="EAF1F8" w:sz="2"/>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4E79"/>
                <w:sz w:val="21"/>
                <w:szCs w:val="21"/>
              </w:rPr>
              <w:t xml:space="preserve">La inversión en una frase</w:t>
            </w:r>
          </w:p>
          <w:p>
            <w:pPr>
              <w:spacing w:after="60" w:line="264"/>
            </w:pPr>
            <w:r>
              <w:rPr>
                <w:rFonts w:ascii="Calibri" w:cs="Calibri" w:eastAsia="Calibri" w:hAnsi="Calibri"/>
                <w:sz w:val="20"/>
                <w:szCs w:val="20"/>
              </w:rPr>
              <w:t xml:space="preserve">Valor de mercado del desarrollo: $8.500.000 COP.</w:t>
            </w:r>
          </w:p>
          <w:p>
            <w:pPr>
              <w:spacing w:after="60" w:line="264"/>
            </w:pPr>
            <w:r>
              <w:rPr>
                <w:rFonts w:ascii="Calibri" w:cs="Calibri" w:eastAsia="Calibri" w:hAnsi="Calibri"/>
                <w:sz w:val="20"/>
                <w:szCs w:val="20"/>
              </w:rPr>
              <w:t xml:space="preserve">Con el Descuento JCS Emprende y el Descuento por base estructural del programa, TotalVet invierte $3.500.000 COP en el ERP y $600.000 COP en el catálogo digital.</w:t>
            </w:r>
          </w:p>
          <w:p>
            <w:pPr>
              <w:spacing w:after="60" w:line="264"/>
            </w:pPr>
            <w:r>
              <w:rPr>
                <w:rFonts w:ascii="Calibri" w:cs="Calibri" w:eastAsia="Calibri" w:hAnsi="Calibri"/>
                <w:sz w:val="20"/>
                <w:szCs w:val="20"/>
              </w:rPr>
              <w:t xml:space="preserve">Inversión total del proyecto: $4.100.000 COP — 50% para iniciar y 50% contra entrega.</w:t>
            </w:r>
          </w:p>
        </w:tc>
      </w:tr>
    </w:tbl>
    <w:p>
      <w:pPr>
        <w:spacing w:after="120"/>
      </w:pPr>
    </w:p>
    <w:p>
      <w:pPr>
        <w:pStyle w:val="Heading2"/>
        <w:spacing w:after="100" w:before="240"/>
      </w:pPr>
      <w:r>
        <w:rPr>
          <w:rFonts w:ascii="Calibri" w:cs="Calibri" w:eastAsia="Calibri" w:hAnsi="Calibri"/>
          <w:b/>
          <w:bCs/>
          <w:color w:val="2E75B6"/>
          <w:sz w:val="23"/>
          <w:szCs w:val="23"/>
        </w:rPr>
        <w:t xml:space="preserve">Qué hace diferente a esta propuesta</w:t>
      </w:r>
    </w:p>
    <w:p>
      <w:pPr>
        <w:pStyle w:val="ListParagraph"/>
        <w:numPr>
          <w:ilvl w:val="0"/>
          <w:numId w:val="2"/>
        </w:numPr>
        <w:spacing w:after="60" w:line="276"/>
      </w:pPr>
      <w:r>
        <w:rPr>
          <w:rFonts w:ascii="Calibri" w:cs="Calibri" w:eastAsia="Calibri" w:hAnsi="Calibri"/>
          <w:sz w:val="21"/>
          <w:szCs w:val="21"/>
        </w:rPr>
        <w:t xml:space="preserve">No es un desarrollo desde cero: TotalVet se monta sobre una base estructural ya construida y probada, lo que reduce drásticamente el tiempo de implementación y el costo.</w:t>
      </w:r>
    </w:p>
    <w:p>
      <w:pPr>
        <w:pStyle w:val="ListParagraph"/>
        <w:numPr>
          <w:ilvl w:val="0"/>
          <w:numId w:val="2"/>
        </w:numPr>
        <w:spacing w:after="60" w:line="276"/>
      </w:pPr>
      <w:r>
        <w:rPr>
          <w:rFonts w:ascii="Calibri" w:cs="Calibri" w:eastAsia="Calibri" w:hAnsi="Calibri"/>
          <w:sz w:val="21"/>
          <w:szCs w:val="21"/>
        </w:rPr>
        <w:t xml:space="preserve">No es un software enlatado: la instancia de TotalVet es propia — sus datos, su logo, sus colores, sus roles, sus líneas de producto y sus listas de precios.</w:t>
      </w:r>
    </w:p>
    <w:p>
      <w:pPr>
        <w:pStyle w:val="ListParagraph"/>
        <w:numPr>
          <w:ilvl w:val="0"/>
          <w:numId w:val="2"/>
        </w:numPr>
        <w:spacing w:after="60" w:line="276"/>
      </w:pPr>
      <w:r>
        <w:rPr>
          <w:rFonts w:ascii="Calibri" w:cs="Calibri" w:eastAsia="Calibri" w:hAnsi="Calibri"/>
          <w:sz w:val="21"/>
          <w:szCs w:val="21"/>
        </w:rPr>
        <w:t xml:space="preserve">El catálogo digital y el ERP son la misma fuente de datos: lo que se vende en el catálogo descuenta inventario y alimenta la rentabilidad real, sin doble digitación.</w:t>
      </w:r>
    </w:p>
    <w:p>
      <w:r>
        <w:br w:type="page"/>
      </w:r>
    </w:p>
    <w:p>
      <w:pPr>
        <w:pStyle w:val="Heading1"/>
        <w:pBdr>
          <w:bottom w:val="single" w:color="2E75B6" w:sz="8" w:space="4"/>
        </w:pBdr>
        <w:spacing w:after="160" w:before="320"/>
      </w:pPr>
      <w:r>
        <w:rPr>
          <w:rFonts w:ascii="Calibri" w:cs="Calibri" w:eastAsia="Calibri" w:hAnsi="Calibri"/>
          <w:b/>
          <w:bCs/>
          <w:color w:val="1F4E79"/>
          <w:sz w:val="28"/>
          <w:szCs w:val="28"/>
        </w:rPr>
        <w:t xml:space="preserve">2. Alcance del desarrollo</w:t>
      </w:r>
    </w:p>
    <w:p>
      <w:pPr>
        <w:pStyle w:val="Heading2"/>
        <w:spacing w:after="100" w:before="240"/>
      </w:pPr>
      <w:r>
        <w:rPr>
          <w:rFonts w:ascii="Calibri" w:cs="Calibri" w:eastAsia="Calibri" w:hAnsi="Calibri"/>
          <w:b/>
          <w:bCs/>
          <w:color w:val="2E75B6"/>
          <w:sz w:val="23"/>
          <w:szCs w:val="23"/>
        </w:rPr>
        <w:t xml:space="preserve">2.1 Arquitectura de la solución</w:t>
      </w:r>
    </w:p>
    <w:p>
      <w:pPr>
        <w:spacing w:after="120" w:before="0" w:line="276"/>
      </w:pPr>
      <w:r>
        <w:rPr>
          <w:rFonts w:ascii="Calibri" w:cs="Calibri" w:eastAsia="Calibri" w:hAnsi="Calibri"/>
          <w:color w:val="000000"/>
          <w:sz w:val="21"/>
          <w:szCs w:val="21"/>
        </w:rPr>
        <w:t xml:space="preserve">El sistema se construye sobre una arquitectura de tres capas, diseñada para ser robusta, de bajo costo operativo y sin licencias mensuales de plataforma:</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100"/>
        <w:gridCol w:w="4260"/>
      </w:tblGrid>
      <w:tr>
        <w:trPr>
          <w:cantSplit/>
          <w:tblHeader/>
        </w:trPr>
        <w:tc>
          <w:tcPr>
            <w:tcW w:type="dxa" w:w="20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Capa</w:t>
            </w:r>
          </w:p>
        </w:tc>
        <w:tc>
          <w:tcPr>
            <w:tcW w:type="dxa" w:w="31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Tecnología</w:t>
            </w:r>
          </w:p>
        </w:tc>
        <w:tc>
          <w:tcPr>
            <w:tcW w:type="dxa" w:w="42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Función</w:t>
            </w:r>
          </w:p>
        </w:tc>
      </w:tr>
      <w:tr>
        <w:trPr>
          <w:cantSplit/>
          <w:tblHeader w:val="false"/>
        </w:trPr>
        <w:tc>
          <w:tcPr>
            <w:tcW w:type="dxa" w:w="20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Frontend</w:t>
            </w:r>
          </w:p>
        </w:tc>
        <w:tc>
          <w:tcPr>
            <w:tcW w:type="dxa" w:w="31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React sobre GitHub Pages</w:t>
            </w:r>
          </w:p>
        </w:tc>
        <w:tc>
          <w:tcPr>
            <w:tcW w:type="dxa" w:w="42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Panel administrativo interno y catálogo público. Acceso desde computador, tablet o celular mediante navegador, sin instalar nada.</w:t>
            </w:r>
          </w:p>
        </w:tc>
      </w:tr>
      <w:tr>
        <w:trPr>
          <w:cantSplit/>
          <w:tblHeader w:val="false"/>
        </w:trPr>
        <w:tc>
          <w:tcPr>
            <w:tcW w:type="dxa" w:w="20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API / Lógica</w:t>
            </w:r>
          </w:p>
        </w:tc>
        <w:tc>
          <w:tcPr>
            <w:tcW w:type="dxa" w:w="31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Google Apps Script (Web App)</w:t>
            </w:r>
          </w:p>
        </w:tc>
        <w:tc>
          <w:tcPr>
            <w:tcW w:type="dxa" w:w="42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Capa intermedia que contiene toda la lógica de negocio: valida, calcula y controla permisos. Evita exponer la base de datos directamente.</w:t>
            </w:r>
          </w:p>
        </w:tc>
      </w:tr>
      <w:tr>
        <w:trPr>
          <w:cantSplit/>
          <w:tblHeader w:val="false"/>
        </w:trPr>
        <w:tc>
          <w:tcPr>
            <w:tcW w:type="dxa" w:w="20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Datos</w:t>
            </w:r>
          </w:p>
        </w:tc>
        <w:tc>
          <w:tcPr>
            <w:tcW w:type="dxa" w:w="31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Google Sheets (un archivo por cliente)</w:t>
            </w:r>
          </w:p>
        </w:tc>
        <w:tc>
          <w:tcPr>
            <w:tcW w:type="dxa" w:w="42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Base de datos con pestañas equivalentes a tablas relacionales, exclusiva de TotalVet y no compartida con ningún otro negocio.</w:t>
            </w:r>
          </w:p>
        </w:tc>
      </w:tr>
    </w:tbl>
    <w:p>
      <w:pPr>
        <w:spacing w:after="140"/>
      </w:pPr>
    </w:p>
    <w:p>
      <w:pPr>
        <w:spacing w:after="120" w:before="0" w:line="276"/>
      </w:pPr>
      <w:r>
        <w:rPr>
          <w:rFonts w:ascii="Calibri" w:cs="Calibri" w:eastAsia="Calibri" w:hAnsi="Calibri"/>
          <w:b/>
          <w:bCs/>
          <w:color w:val="000000"/>
          <w:sz w:val="21"/>
          <w:szCs w:val="21"/>
        </w:rPr>
        <w:t xml:space="preserve">Ventaja para TotalVet: </w:t>
      </w:r>
      <w:r>
        <w:rPr>
          <w:rFonts w:ascii="Calibri" w:cs="Calibri" w:eastAsia="Calibri" w:hAnsi="Calibri"/>
          <w:color w:val="000000"/>
          <w:sz w:val="21"/>
          <w:szCs w:val="21"/>
        </w:rPr>
        <w:t xml:space="preserve">no hay servidores que pagar ni mantener, no hay licencias por usuario, y la información queda en un entorno Google al que se accede desde cualquier lugar. El costo recurrente de infraestructura es prácticamente nulo en el arranque.</w:t>
      </w:r>
    </w:p>
    <w:p>
      <w:pPr>
        <w:pStyle w:val="Heading2"/>
        <w:spacing w:after="100" w:before="240"/>
      </w:pPr>
      <w:r>
        <w:rPr>
          <w:rFonts w:ascii="Calibri" w:cs="Calibri" w:eastAsia="Calibri" w:hAnsi="Calibri"/>
          <w:b/>
          <w:bCs/>
          <w:color w:val="2E75B6"/>
          <w:sz w:val="23"/>
          <w:szCs w:val="23"/>
        </w:rPr>
        <w:t xml:space="preserve">2.2 Módulos incluidos</w:t>
      </w:r>
    </w:p>
    <w:p>
      <w:pPr>
        <w:spacing w:after="120" w:before="0" w:line="276"/>
      </w:pPr>
      <w:r>
        <w:rPr>
          <w:rFonts w:ascii="Calibri" w:cs="Calibri" w:eastAsia="Calibri" w:hAnsi="Calibri"/>
          <w:color w:val="000000"/>
          <w:sz w:val="21"/>
          <w:szCs w:val="21"/>
        </w:rPr>
        <w:t xml:space="preserve">El desarrollo entrega los siguientes módulos, todos operativos y conectados entre sí:</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6860"/>
      </w:tblGrid>
      <w:tr>
        <w:trPr>
          <w:cantSplit/>
          <w:tblHeader/>
        </w:trPr>
        <w:tc>
          <w:tcPr>
            <w:tcW w:type="dxa" w:w="25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Módulo</w:t>
            </w:r>
          </w:p>
        </w:tc>
        <w:tc>
          <w:tcPr>
            <w:tcW w:type="dxa" w:w="68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Qué incluye</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Compras</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Registro de proveedores, órdenes de compra, recepción de mercancía con verificación de cantidades y estados de la orden.</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Inventario</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Stock por producto, movimientos de entrada y salida, ajustes manuales y recálculo automático del costo promedio ponderado en cada compra.</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Ventas</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Registro de ventas con verificación de stock, descuento automático de inventario y cálculo de la rentabilidad real de cada venta al costo vigente.</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Cotizaciones</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Cotizaciones que no afectan inventario y se convierten en venta con un clic cuando el cliente confirma.</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Listas de precios</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Listas configurables por tipo de cliente (público, mayorista, distribuidor, o las que TotalVet defina), con precio propio por producto en cada lista.</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Comisiones</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Cálculo automático de la comisión del vendedor sobre el valor de venta, con porcentaje configurable por línea de producto, y control del estado de pago de cada comisión.</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Cuentas por cobrar</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Cartera por cliente generada automáticamente desde la venta, con saldos, fechas de vencimiento y registro de abonos parciales.</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Cuentas por pagar</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Obligaciones con proveedores generadas desde la compra, con saldos, vencimientos y pagos parciales.</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Tablero de control</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Indicadores del negocio segmentados por rol: desempeño comercial, estado de inventario, compras y situación financiera. Alerta visual cuando un producto queda en inventario negativo.</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Informes y rentabilidad</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Informes generales del negocio, rentabilidad por venta y por línea, y valoración del costo del inventario.</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Usuarios, roles y permisos</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Administración de usuarios con matriz de permisos configurable módulo por módulo.</w:t>
            </w:r>
          </w:p>
        </w:tc>
      </w:tr>
      <w:tr>
        <w:trPr>
          <w:cantSplit/>
          <w:tblHeader w:val="false"/>
        </w:trPr>
        <w:tc>
          <w:tcPr>
            <w:tcW w:type="dxa" w:w="2500"/>
            <w:tcMar>
              <w:top w:type="dxa" w:w="80"/>
              <w:left w:type="dxa" w:w="110"/>
              <w:bottom w:type="dxa" w:w="80"/>
              <w:right w:type="dxa" w:w="110"/>
            </w:tcMar>
            <w:vAlign w:val="center"/>
          </w:tcPr>
          <w:p>
            <w:pPr>
              <w:spacing w:after="0" w:line="260"/>
            </w:pPr>
            <w:r>
              <w:rPr>
                <w:rFonts w:ascii="Calibri" w:cs="Calibri" w:eastAsia="Calibri" w:hAnsi="Calibri"/>
                <w:b/>
                <w:bCs/>
                <w:color w:val="1D6F42"/>
                <w:sz w:val="20"/>
                <w:szCs w:val="20"/>
              </w:rPr>
              <w:t xml:space="preserve">Catálogo digital + carrito</w:t>
            </w:r>
          </w:p>
        </w:tc>
        <w:tc>
          <w:tcPr>
            <w:tcW w:type="dxa" w:w="6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Vitrina pública conectada al inventario y a las listas de precios, con carrito de compras y envío de pedido por WhatsApp. (Detalle en la sección 2.6.)</w:t>
            </w:r>
          </w:p>
        </w:tc>
      </w:tr>
    </w:tbl>
    <w:p>
      <w:r>
        <w:br w:type="page"/>
      </w:r>
    </w:p>
    <w:p>
      <w:pPr>
        <w:pStyle w:val="Heading2"/>
        <w:spacing w:after="100" w:before="240"/>
      </w:pPr>
      <w:r>
        <w:rPr>
          <w:rFonts w:ascii="Calibri" w:cs="Calibri" w:eastAsia="Calibri" w:hAnsi="Calibri"/>
          <w:b/>
          <w:bCs/>
          <w:color w:val="2E75B6"/>
          <w:sz w:val="23"/>
          <w:szCs w:val="23"/>
        </w:rPr>
        <w:t xml:space="preserve">2.3 Flujo de compras</w:t>
      </w:r>
    </w:p>
    <w:p>
      <w:pPr>
        <w:pStyle w:val="ListParagraph"/>
        <w:numPr>
          <w:ilvl w:val="0"/>
          <w:numId w:val="3"/>
        </w:numPr>
        <w:spacing w:after="60" w:line="276"/>
      </w:pPr>
      <w:r>
        <w:rPr>
          <w:rFonts w:ascii="Calibri" w:cs="Calibri" w:eastAsia="Calibri" w:hAnsi="Calibri"/>
          <w:sz w:val="21"/>
          <w:szCs w:val="21"/>
        </w:rPr>
        <w:t xml:space="preserve">Orden de compra: se selecciona el proveedor y los productos requeridos.</w:t>
      </w:r>
    </w:p>
    <w:p>
      <w:pPr>
        <w:pStyle w:val="ListParagraph"/>
        <w:numPr>
          <w:ilvl w:val="0"/>
          <w:numId w:val="3"/>
        </w:numPr>
        <w:spacing w:after="60" w:line="276"/>
      </w:pPr>
      <w:r>
        <w:rPr>
          <w:rFonts w:ascii="Calibri" w:cs="Calibri" w:eastAsia="Calibri" w:hAnsi="Calibri"/>
          <w:sz w:val="21"/>
          <w:szCs w:val="21"/>
        </w:rPr>
        <w:t xml:space="preserve">Recepción de mercancía: se verifican las cantidades efectivamente recibidas contra la orden.</w:t>
      </w:r>
    </w:p>
    <w:p>
      <w:pPr>
        <w:pStyle w:val="ListParagraph"/>
        <w:numPr>
          <w:ilvl w:val="0"/>
          <w:numId w:val="3"/>
        </w:numPr>
        <w:spacing w:after="60" w:line="276"/>
      </w:pPr>
      <w:r>
        <w:rPr>
          <w:rFonts w:ascii="Calibri" w:cs="Calibri" w:eastAsia="Calibri" w:hAnsi="Calibri"/>
          <w:sz w:val="21"/>
          <w:szCs w:val="21"/>
        </w:rPr>
        <w:t xml:space="preserve">Actualización de inventario: el sistema recalcula automáticamente el costo promedio ponderado de cada producto.</w:t>
      </w:r>
    </w:p>
    <w:p>
      <w:pPr>
        <w:pStyle w:val="ListParagraph"/>
        <w:numPr>
          <w:ilvl w:val="0"/>
          <w:numId w:val="3"/>
        </w:numPr>
        <w:spacing w:after="60" w:line="276"/>
      </w:pPr>
      <w:r>
        <w:rPr>
          <w:rFonts w:ascii="Calibri" w:cs="Calibri" w:eastAsia="Calibri" w:hAnsi="Calibri"/>
          <w:sz w:val="21"/>
          <w:szCs w:val="21"/>
        </w:rPr>
        <w:t xml:space="preserve">Generación de la cuenta por pagar al proveedor.</w:t>
      </w:r>
    </w:p>
    <w:p>
      <w:pPr>
        <w:pStyle w:val="ListParagraph"/>
        <w:numPr>
          <w:ilvl w:val="0"/>
          <w:numId w:val="3"/>
        </w:numPr>
        <w:spacing w:after="60" w:line="276"/>
      </w:pPr>
      <w:r>
        <w:rPr>
          <w:rFonts w:ascii="Calibri" w:cs="Calibri" w:eastAsia="Calibri" w:hAnsi="Calibri"/>
          <w:sz w:val="21"/>
          <w:szCs w:val="21"/>
        </w:rPr>
        <w:t xml:space="preserve">Registro de pagos, con soporte para abonos parciales y actualización del saldo.</w:t>
      </w:r>
    </w:p>
    <w:p>
      <w:pPr>
        <w:pStyle w:val="Heading2"/>
        <w:spacing w:after="100" w:before="240"/>
      </w:pPr>
      <w:r>
        <w:rPr>
          <w:rFonts w:ascii="Calibri" w:cs="Calibri" w:eastAsia="Calibri" w:hAnsi="Calibri"/>
          <w:b/>
          <w:bCs/>
          <w:color w:val="2E75B6"/>
          <w:sz w:val="23"/>
          <w:szCs w:val="23"/>
        </w:rPr>
        <w:t xml:space="preserve">2.4 Flujo de ventas</w:t>
      </w:r>
    </w:p>
    <w:p>
      <w:pPr>
        <w:pStyle w:val="ListParagraph"/>
        <w:numPr>
          <w:ilvl w:val="0"/>
          <w:numId w:val="3"/>
        </w:numPr>
        <w:spacing w:after="60" w:line="276"/>
      </w:pPr>
      <w:r>
        <w:rPr>
          <w:rFonts w:ascii="Calibri" w:cs="Calibri" w:eastAsia="Calibri" w:hAnsi="Calibri"/>
          <w:sz w:val="21"/>
          <w:szCs w:val="21"/>
        </w:rPr>
        <w:t xml:space="preserve">Cotización (opcional): se convierte en venta cuando el cliente confirma.</w:t>
      </w:r>
    </w:p>
    <w:p>
      <w:pPr>
        <w:pStyle w:val="ListParagraph"/>
        <w:numPr>
          <w:ilvl w:val="0"/>
          <w:numId w:val="3"/>
        </w:numPr>
        <w:spacing w:after="60" w:line="276"/>
      </w:pPr>
      <w:r>
        <w:rPr>
          <w:rFonts w:ascii="Calibri" w:cs="Calibri" w:eastAsia="Calibri" w:hAnsi="Calibri"/>
          <w:sz w:val="21"/>
          <w:szCs w:val="21"/>
        </w:rPr>
        <w:t xml:space="preserve">Registro de la venta: el sistema verifica el stock disponible. Se permite vender con inventario en negativo (pedido pendiente); el sistema no bloquea la operación, pero alerta visualmente en el tablero de control.</w:t>
      </w:r>
    </w:p>
    <w:p>
      <w:pPr>
        <w:pStyle w:val="ListParagraph"/>
        <w:numPr>
          <w:ilvl w:val="0"/>
          <w:numId w:val="3"/>
        </w:numPr>
        <w:spacing w:after="60" w:line="276"/>
      </w:pPr>
      <w:r>
        <w:rPr>
          <w:rFonts w:ascii="Calibri" w:cs="Calibri" w:eastAsia="Calibri" w:hAnsi="Calibri"/>
          <w:sz w:val="21"/>
          <w:szCs w:val="21"/>
        </w:rPr>
        <w:t xml:space="preserve">Descuento de inventario al costo promedio ponderado vigente, lo que calcula automáticamente la rentabilidad real de esa venta.</w:t>
      </w:r>
    </w:p>
    <w:p>
      <w:pPr>
        <w:pStyle w:val="ListParagraph"/>
        <w:numPr>
          <w:ilvl w:val="0"/>
          <w:numId w:val="3"/>
        </w:numPr>
        <w:spacing w:after="60" w:line="276"/>
      </w:pPr>
      <w:r>
        <w:rPr>
          <w:rFonts w:ascii="Calibri" w:cs="Calibri" w:eastAsia="Calibri" w:hAnsi="Calibri"/>
          <w:sz w:val="21"/>
          <w:szCs w:val="21"/>
        </w:rPr>
        <w:t xml:space="preserve">Cálculo de la comisión del vendedor sobre el valor de venta, según el porcentaje configurado para la línea de producto.</w:t>
      </w:r>
    </w:p>
    <w:p>
      <w:pPr>
        <w:pStyle w:val="ListParagraph"/>
        <w:numPr>
          <w:ilvl w:val="0"/>
          <w:numId w:val="3"/>
        </w:numPr>
        <w:spacing w:after="60" w:line="276"/>
      </w:pPr>
      <w:r>
        <w:rPr>
          <w:rFonts w:ascii="Calibri" w:cs="Calibri" w:eastAsia="Calibri" w:hAnsi="Calibri"/>
          <w:sz w:val="21"/>
          <w:szCs w:val="21"/>
        </w:rPr>
        <w:t xml:space="preserve">Generación de la cuenta por cobrar al cliente.</w:t>
      </w:r>
    </w:p>
    <w:p>
      <w:pPr>
        <w:spacing w:after="60"/>
      </w:pPr>
    </w:p>
    <w:tbl>
      <w:tblPr>
        <w:tblW w:type="dxa" w:w="9360"/>
        <w:tblBorders>
          <w:top w:val="single" w:color="F7F7F7" w:sz="2"/>
          <w:left w:val="single" w:color="2E75B6" w:sz="18"/>
          <w:bottom w:val="single" w:color="F7F7F7" w:sz="2"/>
          <w:right w:val="single" w:color="F7F7F7" w:sz="2"/>
          <w:insideH w:val="none"/>
          <w:insideV w:val="none"/>
        </w:tblBorders>
      </w:tblPr>
      <w:tblGrid>
        <w:gridCol w:w="9360"/>
      </w:tblGrid>
      <w:tr>
        <w:tc>
          <w:tcPr>
            <w:tcW w:type="dxa" w:w="9360"/>
            <w:shd w:fill="F7F7F7" w:color="auto" w:val="clear"/>
            <w:tcMar>
              <w:top w:type="dxa" w:w="140"/>
              <w:left w:type="dxa" w:w="180"/>
              <w:bottom w:type="dxa" w:w="140"/>
              <w:right w:type="dxa" w:w="180"/>
            </w:tcMar>
          </w:tcPr>
          <w:p>
            <w:pPr>
              <w:spacing w:after="60" w:line="264"/>
            </w:pPr>
            <w:r>
              <w:rPr>
                <w:rFonts w:ascii="Calibri" w:cs="Calibri" w:eastAsia="Calibri" w:hAnsi="Calibri"/>
                <w:sz w:val="20"/>
                <w:szCs w:val="20"/>
              </w:rPr>
              <w:t xml:space="preserve">Este encadenamiento es el corazón del sistema: una sola operación de venta actualiza inventario, costo, rentabilidad, comisión y cartera. No hay archivos paralelos ni conciliaciones manuales al final del mes.</w:t>
            </w:r>
          </w:p>
        </w:tc>
      </w:tr>
    </w:tbl>
    <w:p>
      <w:pPr>
        <w:pStyle w:val="Heading2"/>
        <w:spacing w:after="100" w:before="240"/>
      </w:pPr>
      <w:r>
        <w:rPr>
          <w:rFonts w:ascii="Calibri" w:cs="Calibri" w:eastAsia="Calibri" w:hAnsi="Calibri"/>
          <w:b/>
          <w:bCs/>
          <w:color w:val="2E75B6"/>
          <w:sz w:val="23"/>
          <w:szCs w:val="23"/>
        </w:rPr>
        <w:t xml:space="preserve">2.5 Roles y permisos</w:t>
      </w:r>
    </w:p>
    <w:p>
      <w:pPr>
        <w:spacing w:after="120" w:before="0" w:line="276"/>
      </w:pPr>
      <w:r>
        <w:rPr>
          <w:rFonts w:ascii="Calibri" w:cs="Calibri" w:eastAsia="Calibri" w:hAnsi="Calibri"/>
          <w:color w:val="000000"/>
          <w:sz w:val="21"/>
          <w:szCs w:val="21"/>
        </w:rPr>
        <w:t xml:space="preserve">Los roles no son un esquema fijo: TotalVet parte de una plantilla de cinco roles que el administrador puede editar, ampliar o ajustar módulo por módulo. Cada permiso admite cuatro niveles: sin acceso, ver, editar o total.</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60"/>
        <w:gridCol w:w="1400"/>
        <w:gridCol w:w="1400"/>
        <w:gridCol w:w="1400"/>
        <w:gridCol w:w="1400"/>
        <w:gridCol w:w="1400"/>
      </w:tblGrid>
      <w:tr>
        <w:trPr>
          <w:cantSplit/>
          <w:tblHeader/>
        </w:trPr>
        <w:tc>
          <w:tcPr>
            <w:tcW w:type="dxa" w:w="23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Módulo</w:t>
            </w:r>
          </w:p>
        </w:tc>
        <w:tc>
          <w:tcPr>
            <w:tcW w:type="dxa" w:w="1400"/>
            <w:shd w:fill="1F4E79"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Admin.</w:t>
            </w:r>
          </w:p>
        </w:tc>
        <w:tc>
          <w:tcPr>
            <w:tcW w:type="dxa" w:w="1400"/>
            <w:shd w:fill="1F4E79"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Ventas</w:t>
            </w:r>
          </w:p>
        </w:tc>
        <w:tc>
          <w:tcPr>
            <w:tcW w:type="dxa" w:w="1400"/>
            <w:shd w:fill="1F4E79"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Bodega</w:t>
            </w:r>
          </w:p>
        </w:tc>
        <w:tc>
          <w:tcPr>
            <w:tcW w:type="dxa" w:w="1400"/>
            <w:shd w:fill="1F4E79"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Compras</w:t>
            </w:r>
          </w:p>
        </w:tc>
        <w:tc>
          <w:tcPr>
            <w:tcW w:type="dxa" w:w="1400"/>
            <w:shd w:fill="1F4E79"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Cartera</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Compras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Inventario</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Ventas / cotizaciones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Las suyas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Comisiones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 todas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Las suyas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Cuentas por cobrar</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Las suyas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Cuentas por pagar</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Catálogo / precios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Costos / rentabilidad</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Sin acceso</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Ver</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Tablero de control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Su desempeño</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Inventario</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Compras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Financiero</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Configuración / usuarios</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Total</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c>
          <w:tcPr>
            <w:tcW w:type="dxa" w:w="14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t>
            </w:r>
          </w:p>
        </w:tc>
      </w:tr>
    </w:tbl>
    <w:p>
      <w:pPr>
        <w:spacing w:after="140"/>
      </w:pPr>
    </w:p>
    <w:p>
      <w:pPr>
        <w:pStyle w:val="ListParagraph"/>
        <w:numPr>
          <w:ilvl w:val="0"/>
          <w:numId w:val="2"/>
        </w:numPr>
        <w:spacing w:after="60" w:line="276"/>
      </w:pPr>
      <w:r>
        <w:rPr>
          <w:rFonts w:ascii="Calibri" w:cs="Calibri" w:eastAsia="Calibri" w:hAnsi="Calibri"/>
          <w:sz w:val="21"/>
          <w:szCs w:val="21"/>
        </w:rPr>
        <w:t xml:space="preserve">Los vendedores nunca ven costo ni rentabilidad: solo el precio de venta y su propia comisión.</w:t>
      </w:r>
    </w:p>
    <w:p>
      <w:pPr>
        <w:pStyle w:val="ListParagraph"/>
        <w:numPr>
          <w:ilvl w:val="0"/>
          <w:numId w:val="2"/>
        </w:numPr>
        <w:spacing w:after="60" w:line="276"/>
      </w:pPr>
      <w:r>
        <w:rPr>
          <w:rFonts w:ascii="Calibri" w:cs="Calibri" w:eastAsia="Calibri" w:hAnsi="Calibri"/>
          <w:sz w:val="21"/>
          <w:szCs w:val="21"/>
        </w:rPr>
        <w:t xml:space="preserve">Cada vendedor ve únicamente sus propias ventas, cotizaciones y cartera. El administrador ve todo.</w:t>
      </w:r>
    </w:p>
    <w:p>
      <w:r>
        <w:br w:type="page"/>
      </w:r>
    </w:p>
    <w:p>
      <w:pPr>
        <w:pStyle w:val="Heading2"/>
        <w:spacing w:after="100" w:before="240"/>
      </w:pPr>
      <w:r>
        <w:rPr>
          <w:rFonts w:ascii="Calibri" w:cs="Calibri" w:eastAsia="Calibri" w:hAnsi="Calibri"/>
          <w:b/>
          <w:bCs/>
          <w:color w:val="2E75B6"/>
          <w:sz w:val="23"/>
          <w:szCs w:val="23"/>
        </w:rPr>
        <w:t xml:space="preserve">2.6 Catálogo digital con carrito de compras</w:t>
      </w:r>
    </w:p>
    <w:p>
      <w:pPr>
        <w:spacing w:after="120" w:before="0" w:line="276"/>
      </w:pPr>
      <w:r>
        <w:rPr>
          <w:rFonts w:ascii="Calibri" w:cs="Calibri" w:eastAsia="Calibri" w:hAnsi="Calibri"/>
          <w:color w:val="000000"/>
          <w:sz w:val="21"/>
          <w:szCs w:val="21"/>
        </w:rPr>
        <w:t xml:space="preserve">Pieza pública e independiente del panel administrativo, conectada directamente a los productos y a las listas de precios del ERP. El cliente de TotalVet accede por un enlace, sin instalar ni registrarse.</w:t>
      </w:r>
    </w:p>
    <w:p>
      <w:pPr>
        <w:pStyle w:val="ListParagraph"/>
        <w:numPr>
          <w:ilvl w:val="0"/>
          <w:numId w:val="3"/>
        </w:numPr>
        <w:spacing w:after="60" w:line="276"/>
      </w:pPr>
      <w:r>
        <w:rPr>
          <w:rFonts w:ascii="Calibri" w:cs="Calibri" w:eastAsia="Calibri" w:hAnsi="Calibri"/>
          <w:sz w:val="21"/>
          <w:szCs w:val="21"/>
        </w:rPr>
        <w:t xml:space="preserve">Accede al catálogo mediante un enlace público.</w:t>
      </w:r>
    </w:p>
    <w:p>
      <w:pPr>
        <w:pStyle w:val="ListParagraph"/>
        <w:numPr>
          <w:ilvl w:val="0"/>
          <w:numId w:val="3"/>
        </w:numPr>
        <w:spacing w:after="60" w:line="276"/>
      </w:pPr>
      <w:r>
        <w:rPr>
          <w:rFonts w:ascii="Calibri" w:cs="Calibri" w:eastAsia="Calibri" w:hAnsi="Calibri"/>
          <w:sz w:val="21"/>
          <w:szCs w:val="21"/>
        </w:rPr>
        <w:t xml:space="preserve">Explora los productos con el precio correspondiente según el modo de visualización.</w:t>
      </w:r>
    </w:p>
    <w:p>
      <w:pPr>
        <w:pStyle w:val="ListParagraph"/>
        <w:numPr>
          <w:ilvl w:val="0"/>
          <w:numId w:val="3"/>
        </w:numPr>
        <w:spacing w:after="60" w:line="276"/>
      </w:pPr>
      <w:r>
        <w:rPr>
          <w:rFonts w:ascii="Calibri" w:cs="Calibri" w:eastAsia="Calibri" w:hAnsi="Calibri"/>
          <w:sz w:val="21"/>
          <w:szCs w:val="21"/>
        </w:rPr>
        <w:t xml:space="preserve">Agrega productos al carrito y selecciona cantidades.</w:t>
      </w:r>
    </w:p>
    <w:p>
      <w:pPr>
        <w:pStyle w:val="ListParagraph"/>
        <w:numPr>
          <w:ilvl w:val="0"/>
          <w:numId w:val="3"/>
        </w:numPr>
        <w:spacing w:after="60" w:line="276"/>
      </w:pPr>
      <w:r>
        <w:rPr>
          <w:rFonts w:ascii="Calibri" w:cs="Calibri" w:eastAsia="Calibri" w:hAnsi="Calibri"/>
          <w:sz w:val="21"/>
          <w:szCs w:val="21"/>
        </w:rPr>
        <w:t xml:space="preserve">Genera una cotización, que queda registrada dentro del sistema.</w:t>
      </w:r>
    </w:p>
    <w:p>
      <w:pPr>
        <w:pStyle w:val="ListParagraph"/>
        <w:numPr>
          <w:ilvl w:val="0"/>
          <w:numId w:val="3"/>
        </w:numPr>
        <w:spacing w:after="60" w:line="276"/>
      </w:pPr>
      <w:r>
        <w:rPr>
          <w:rFonts w:ascii="Calibri" w:cs="Calibri" w:eastAsia="Calibri" w:hAnsi="Calibri"/>
          <w:sz w:val="21"/>
          <w:szCs w:val="21"/>
        </w:rPr>
        <w:t xml:space="preserve">Envía el pedido por WhatsApp: el vendedor lo recibe y cierra la venta en el panel, o la convierte directamente desde la cotización.</w:t>
      </w:r>
    </w:p>
    <w:p>
      <w:pPr>
        <w:spacing w:after="60"/>
      </w:pPr>
    </w:p>
    <w:p>
      <w:pPr>
        <w:pStyle w:val="Heading2"/>
        <w:spacing w:after="100" w:before="240"/>
      </w:pPr>
      <w:r>
        <w:rPr>
          <w:rFonts w:ascii="Calibri" w:cs="Calibri" w:eastAsia="Calibri" w:hAnsi="Calibri"/>
          <w:b/>
          <w:bCs/>
          <w:color w:val="2E75B6"/>
          <w:sz w:val="23"/>
          <w:szCs w:val="23"/>
        </w:rPr>
        <w:t xml:space="preserve">Modo dual de precios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60"/>
      </w:tblGrid>
      <w:tr>
        <w:trPr>
          <w:cantSplit/>
          <w:tblHeader/>
        </w:trPr>
        <w:tc>
          <w:tcPr>
            <w:tcW w:type="dxa" w:w="26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Modo</w:t>
            </w:r>
          </w:p>
        </w:tc>
        <w:tc>
          <w:tcPr>
            <w:tcW w:type="dxa" w:w="67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Comportamiento</w:t>
            </w:r>
          </w:p>
        </w:tc>
      </w:tr>
      <w:tr>
        <w:trPr>
          <w:cantSplit/>
          <w:tblHeader w:val="false"/>
        </w:trPr>
        <w:tc>
          <w:tcPr>
            <w:tcW w:type="dxa" w:w="26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Público (por defecto)</w:t>
            </w:r>
          </w:p>
        </w:tc>
        <w:tc>
          <w:tcPr>
            <w:tcW w:type="dxa" w:w="67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Cualquier persona con el enlace ve la lista de precios pública.</w:t>
            </w:r>
          </w:p>
        </w:tc>
      </w:tr>
      <w:tr>
        <w:trPr>
          <w:cantSplit/>
          <w:tblHeader w:val="false"/>
        </w:trPr>
        <w:tc>
          <w:tcPr>
            <w:tcW w:type="dxa" w:w="26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Cliente identificado</w:t>
            </w:r>
          </w:p>
        </w:tc>
        <w:tc>
          <w:tcPr>
            <w:tcW w:type="dxa" w:w="67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El cliente ingresa con su credencial y el catálogo recalcula los precios según la lista que TotalVet le tenga asignada (mayorista, distribuidor, etc.). Es un acceso liviano, independiente del inicio de sesión del panel administrativo.</w:t>
            </w:r>
          </w:p>
        </w:tc>
      </w:tr>
    </w:tbl>
    <w:p>
      <w:pPr>
        <w:spacing w:after="140"/>
      </w:pPr>
    </w:p>
    <w:p>
      <w:pPr>
        <w:spacing w:after="120" w:before="0" w:line="276"/>
      </w:pPr>
      <w:r>
        <w:rPr>
          <w:rFonts w:ascii="Calibri" w:cs="Calibri" w:eastAsia="Calibri" w:hAnsi="Calibri"/>
          <w:b/>
          <w:bCs/>
          <w:color w:val="1F4E79"/>
          <w:sz w:val="21"/>
          <w:szCs w:val="21"/>
        </w:rPr>
        <w:t xml:space="preserve">Nota importante: </w:t>
      </w:r>
      <w:r>
        <w:rPr>
          <w:rFonts w:ascii="Calibri" w:cs="Calibri" w:eastAsia="Calibri" w:hAnsi="Calibri"/>
          <w:color w:val="000000"/>
          <w:sz w:val="21"/>
          <w:szCs w:val="21"/>
        </w:rPr>
        <w:t xml:space="preserve">el catálogo incluido en esta propuesta cierra el pedido por el flujo carrito → cotización → WhatsApp. No incluye pasarela de pago integrada. Esa integración se aborda como opción adicional en la sección 8.</w:t>
      </w:r>
    </w:p>
    <w:p>
      <w:pPr>
        <w:pStyle w:val="Heading2"/>
        <w:spacing w:after="100" w:before="240"/>
      </w:pPr>
      <w:r>
        <w:rPr>
          <w:rFonts w:ascii="Calibri" w:cs="Calibri" w:eastAsia="Calibri" w:hAnsi="Calibri"/>
          <w:b/>
          <w:bCs/>
          <w:color w:val="2E75B6"/>
          <w:sz w:val="23"/>
          <w:szCs w:val="23"/>
        </w:rPr>
        <w:t xml:space="preserve">2.7 Puesta en marcha (onboarding)</w:t>
      </w:r>
    </w:p>
    <w:p>
      <w:pPr>
        <w:spacing w:after="120" w:before="0" w:line="276"/>
      </w:pPr>
      <w:r>
        <w:rPr>
          <w:rFonts w:ascii="Calibri" w:cs="Calibri" w:eastAsia="Calibri" w:hAnsi="Calibri"/>
          <w:color w:val="000000"/>
          <w:sz w:val="21"/>
          <w:szCs w:val="21"/>
        </w:rPr>
        <w:t xml:space="preserve">Antes de que TotalVet empiece a operar, se ejecuta un proceso de configuración inicial:</w:t>
      </w:r>
    </w:p>
    <w:p>
      <w:pPr>
        <w:pStyle w:val="ListParagraph"/>
        <w:numPr>
          <w:ilvl w:val="0"/>
          <w:numId w:val="3"/>
        </w:numPr>
        <w:spacing w:after="60" w:line="276"/>
      </w:pPr>
      <w:r>
        <w:rPr>
          <w:rFonts w:ascii="Calibri" w:cs="Calibri" w:eastAsia="Calibri" w:hAnsi="Calibri"/>
          <w:sz w:val="21"/>
          <w:szCs w:val="21"/>
        </w:rPr>
        <w:t xml:space="preserve">Datos de la empresa: nombre, identificación fiscal, logo y datos de contacto.</w:t>
      </w:r>
    </w:p>
    <w:p>
      <w:pPr>
        <w:pStyle w:val="ListParagraph"/>
        <w:numPr>
          <w:ilvl w:val="0"/>
          <w:numId w:val="3"/>
        </w:numPr>
        <w:spacing w:after="60" w:line="276"/>
      </w:pPr>
      <w:r>
        <w:rPr>
          <w:rFonts w:ascii="Calibri" w:cs="Calibri" w:eastAsia="Calibri" w:hAnsi="Calibri"/>
          <w:sz w:val="21"/>
          <w:szCs w:val="21"/>
        </w:rPr>
        <w:t xml:space="preserve">Colores de marca: definen el tema visual del panel y del catálogo.</w:t>
      </w:r>
    </w:p>
    <w:p>
      <w:pPr>
        <w:pStyle w:val="ListParagraph"/>
        <w:numPr>
          <w:ilvl w:val="0"/>
          <w:numId w:val="3"/>
        </w:numPr>
        <w:spacing w:after="60" w:line="276"/>
      </w:pPr>
      <w:r>
        <w:rPr>
          <w:rFonts w:ascii="Calibri" w:cs="Calibri" w:eastAsia="Calibri" w:hAnsi="Calibri"/>
          <w:sz w:val="21"/>
          <w:szCs w:val="21"/>
        </w:rPr>
        <w:t xml:space="preserve">Usuarios iniciales: se crean y se les asigna su rol.</w:t>
      </w:r>
    </w:p>
    <w:p>
      <w:pPr>
        <w:pStyle w:val="ListParagraph"/>
        <w:numPr>
          <w:ilvl w:val="0"/>
          <w:numId w:val="3"/>
        </w:numPr>
        <w:spacing w:after="60" w:line="276"/>
      </w:pPr>
      <w:r>
        <w:rPr>
          <w:rFonts w:ascii="Calibri" w:cs="Calibri" w:eastAsia="Calibri" w:hAnsi="Calibri"/>
          <w:sz w:val="21"/>
          <w:szCs w:val="21"/>
        </w:rPr>
        <w:t xml:space="preserve">Confirmación y revisión final.</w:t>
      </w:r>
    </w:p>
    <w:p>
      <w:pPr>
        <w:pStyle w:val="ListParagraph"/>
        <w:numPr>
          <w:ilvl w:val="0"/>
          <w:numId w:val="3"/>
        </w:numPr>
        <w:spacing w:after="60" w:line="276"/>
      </w:pPr>
      <w:r>
        <w:rPr>
          <w:rFonts w:ascii="Calibri" w:cs="Calibri" w:eastAsia="Calibri" w:hAnsi="Calibri"/>
          <w:sz w:val="21"/>
          <w:szCs w:val="21"/>
        </w:rPr>
        <w:t xml:space="preserve">Provisión automática: se crea la base de datos de TotalVet, se cargan sus datos y colores, se crea el usuario administrador y se despliega y conecta la aplicación.</w:t>
      </w:r>
    </w:p>
    <w:p>
      <w:r>
        <w:br w:type="page"/>
      </w:r>
    </w:p>
    <w:p>
      <w:pPr>
        <w:pStyle w:val="Heading1"/>
        <w:pBdr>
          <w:bottom w:val="single" w:color="2E75B6" w:sz="8" w:space="4"/>
        </w:pBdr>
        <w:spacing w:after="160" w:before="320"/>
      </w:pPr>
      <w:r>
        <w:rPr>
          <w:rFonts w:ascii="Calibri" w:cs="Calibri" w:eastAsia="Calibri" w:hAnsi="Calibri"/>
          <w:b/>
          <w:bCs/>
          <w:color w:val="1F4E79"/>
          <w:sz w:val="28"/>
          <w:szCs w:val="28"/>
        </w:rPr>
        <w:t xml:space="preserve">3. Entregables</w:t>
      </w:r>
    </w:p>
    <w:p>
      <w:pPr>
        <w:pStyle w:val="ListParagraph"/>
        <w:numPr>
          <w:ilvl w:val="0"/>
          <w:numId w:val="2"/>
        </w:numPr>
        <w:spacing w:after="60" w:line="276"/>
      </w:pPr>
      <w:r>
        <w:rPr>
          <w:rFonts w:ascii="Calibri" w:cs="Calibri" w:eastAsia="Calibri" w:hAnsi="Calibri"/>
          <w:sz w:val="21"/>
          <w:szCs w:val="21"/>
        </w:rPr>
        <w:t xml:space="preserve">Panel administrativo web operativo, con los módulos descritos en la sección 2.2.</w:t>
      </w:r>
    </w:p>
    <w:p>
      <w:pPr>
        <w:pStyle w:val="ListParagraph"/>
        <w:numPr>
          <w:ilvl w:val="0"/>
          <w:numId w:val="2"/>
        </w:numPr>
        <w:spacing w:after="60" w:line="276"/>
      </w:pPr>
      <w:r>
        <w:rPr>
          <w:rFonts w:ascii="Calibri" w:cs="Calibri" w:eastAsia="Calibri" w:hAnsi="Calibri"/>
          <w:sz w:val="21"/>
          <w:szCs w:val="21"/>
        </w:rPr>
        <w:t xml:space="preserve">Base de datos exclusiva de TotalVet, con la estructura completa del modelo de datos.</w:t>
      </w:r>
    </w:p>
    <w:p>
      <w:pPr>
        <w:pStyle w:val="ListParagraph"/>
        <w:numPr>
          <w:ilvl w:val="0"/>
          <w:numId w:val="2"/>
        </w:numPr>
        <w:spacing w:after="60" w:line="276"/>
      </w:pPr>
      <w:r>
        <w:rPr>
          <w:rFonts w:ascii="Calibri" w:cs="Calibri" w:eastAsia="Calibri" w:hAnsi="Calibri"/>
          <w:sz w:val="21"/>
          <w:szCs w:val="21"/>
        </w:rPr>
        <w:t xml:space="preserve">Catálogo digital público con carrito, con enlace propio, listo para compartir.</w:t>
      </w:r>
    </w:p>
    <w:p>
      <w:pPr>
        <w:pStyle w:val="ListParagraph"/>
        <w:numPr>
          <w:ilvl w:val="0"/>
          <w:numId w:val="2"/>
        </w:numPr>
        <w:spacing w:after="60" w:line="276"/>
      </w:pPr>
      <w:r>
        <w:rPr>
          <w:rFonts w:ascii="Calibri" w:cs="Calibri" w:eastAsia="Calibri" w:hAnsi="Calibri"/>
          <w:sz w:val="21"/>
          <w:szCs w:val="21"/>
        </w:rPr>
        <w:t xml:space="preserve">Configuración inicial de empresa, colores, logo, roles y usuarios administradores.</w:t>
      </w:r>
    </w:p>
    <w:p>
      <w:pPr>
        <w:pStyle w:val="ListParagraph"/>
        <w:numPr>
          <w:ilvl w:val="0"/>
          <w:numId w:val="2"/>
        </w:numPr>
        <w:spacing w:after="60" w:line="276"/>
      </w:pPr>
      <w:r>
        <w:rPr>
          <w:rFonts w:ascii="Calibri" w:cs="Calibri" w:eastAsia="Calibri" w:hAnsi="Calibri"/>
          <w:sz w:val="21"/>
          <w:szCs w:val="21"/>
        </w:rPr>
        <w:t xml:space="preserve">Manual de uso del sistema y sesión de capacitación remota al equipo (hasta 2 sesiones de 1 hora).</w:t>
      </w:r>
    </w:p>
    <w:p>
      <w:pPr>
        <w:pStyle w:val="ListParagraph"/>
        <w:numPr>
          <w:ilvl w:val="0"/>
          <w:numId w:val="2"/>
        </w:numPr>
        <w:spacing w:after="60" w:line="276"/>
      </w:pPr>
      <w:r>
        <w:rPr>
          <w:rFonts w:ascii="Calibri" w:cs="Calibri" w:eastAsia="Calibri" w:hAnsi="Calibri"/>
          <w:sz w:val="21"/>
          <w:szCs w:val="21"/>
        </w:rPr>
        <w:t xml:space="preserve">Garantía de 90 días sobre errores de funcionamiento, sin costo, contada desde la entrega.</w:t>
      </w:r>
    </w:p>
    <w:p>
      <w:pPr>
        <w:pStyle w:val="Heading1"/>
        <w:pBdr>
          <w:bottom w:val="single" w:color="2E75B6" w:sz="8" w:space="4"/>
        </w:pBdr>
        <w:spacing w:after="160" w:before="320"/>
      </w:pPr>
      <w:r>
        <w:rPr>
          <w:rFonts w:ascii="Calibri" w:cs="Calibri" w:eastAsia="Calibri" w:hAnsi="Calibri"/>
          <w:b/>
          <w:bCs/>
          <w:color w:val="1F4E79"/>
          <w:sz w:val="28"/>
          <w:szCs w:val="28"/>
        </w:rPr>
        <w:t xml:space="preserve">4. Cronograma estimado</w:t>
      </w:r>
    </w:p>
    <w:p>
      <w:pPr>
        <w:spacing w:after="120" w:before="0" w:line="276"/>
      </w:pPr>
      <w:r>
        <w:rPr>
          <w:rFonts w:ascii="Calibri" w:cs="Calibri" w:eastAsia="Calibri" w:hAnsi="Calibri"/>
          <w:color w:val="000000"/>
          <w:sz w:val="21"/>
          <w:szCs w:val="21"/>
        </w:rPr>
        <w:t xml:space="preserve">Estimación indicativa de 8 semanas desde la firma y el pago del anticipo. El cronograma definitivo se confirma en la reunión de arranque y depende de la oportunidad con la que TotalVet entregue la información de configuración (productos, líneas, listas de precios, usuarios).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4600"/>
        <w:gridCol w:w="3160"/>
      </w:tblGrid>
      <w:tr>
        <w:trPr>
          <w:cantSplit/>
          <w:tblHeader/>
        </w:trPr>
        <w:tc>
          <w:tcPr>
            <w:tcW w:type="dxa" w:w="16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Semana</w:t>
            </w:r>
          </w:p>
        </w:tc>
        <w:tc>
          <w:tcPr>
            <w:tcW w:type="dxa" w:w="46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Actividad</w:t>
            </w:r>
          </w:p>
        </w:tc>
        <w:tc>
          <w:tcPr>
            <w:tcW w:type="dxa" w:w="31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Participación de TotalVet</w:t>
            </w:r>
          </w:p>
        </w:tc>
      </w:tr>
      <w:tr>
        <w:trPr>
          <w:cantSplit/>
          <w:tblHeader w:val="false"/>
        </w:trPr>
        <w:tc>
          <w:tcPr>
            <w:tcW w:type="dxa" w:w="16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1</w:t>
            </w:r>
          </w:p>
        </w:tc>
        <w:tc>
          <w:tcPr>
            <w:tcW w:type="dxa" w:w="46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Reunión de arranque, onboarding, parametrización de empresa, líneas, listas de precios y usuarios</w:t>
            </w:r>
          </w:p>
        </w:tc>
        <w:tc>
          <w:tcPr>
            <w:tcW w:type="dxa" w:w="31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Entrega de logo, colores, datos y estructura de precios</w:t>
            </w:r>
          </w:p>
        </w:tc>
      </w:tr>
      <w:tr>
        <w:trPr>
          <w:cantSplit/>
          <w:tblHeader w:val="false"/>
        </w:trPr>
        <w:tc>
          <w:tcPr>
            <w:tcW w:type="dxa" w:w="16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2 – 3</w:t>
            </w:r>
          </w:p>
        </w:tc>
        <w:tc>
          <w:tcPr>
            <w:tcW w:type="dxa" w:w="46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Módulos de compras e inventario (costo promedio ponderado)</w:t>
            </w:r>
          </w:p>
        </w:tc>
        <w:tc>
          <w:tcPr>
            <w:tcW w:type="dxa" w:w="31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Validación con casos reales</w:t>
            </w:r>
          </w:p>
        </w:tc>
      </w:tr>
      <w:tr>
        <w:trPr>
          <w:cantSplit/>
          <w:tblHeader w:val="false"/>
        </w:trPr>
        <w:tc>
          <w:tcPr>
            <w:tcW w:type="dxa" w:w="16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4 – 5</w:t>
            </w:r>
          </w:p>
        </w:tc>
        <w:tc>
          <w:tcPr>
            <w:tcW w:type="dxa" w:w="46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Ventas, cotizaciones y comisiones</w:t>
            </w:r>
          </w:p>
        </w:tc>
        <w:tc>
          <w:tcPr>
            <w:tcW w:type="dxa" w:w="31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Definición de porcentajes de comisión por línea</w:t>
            </w:r>
          </w:p>
        </w:tc>
      </w:tr>
      <w:tr>
        <w:trPr>
          <w:cantSplit/>
          <w:tblHeader w:val="false"/>
        </w:trPr>
        <w:tc>
          <w:tcPr>
            <w:tcW w:type="dxa" w:w="16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6</w:t>
            </w:r>
          </w:p>
        </w:tc>
        <w:tc>
          <w:tcPr>
            <w:tcW w:type="dxa" w:w="46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Cuentas por cobrar y cuentas por pagar</w:t>
            </w:r>
          </w:p>
        </w:tc>
        <w:tc>
          <w:tcPr>
            <w:tcW w:type="dxa" w:w="31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Revisión de política de cartera</w:t>
            </w:r>
          </w:p>
        </w:tc>
      </w:tr>
      <w:tr>
        <w:trPr>
          <w:cantSplit/>
          <w:tblHeader w:val="false"/>
        </w:trPr>
        <w:tc>
          <w:tcPr>
            <w:tcW w:type="dxa" w:w="16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7</w:t>
            </w:r>
          </w:p>
        </w:tc>
        <w:tc>
          <w:tcPr>
            <w:tcW w:type="dxa" w:w="46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Tablero de control e informes</w:t>
            </w:r>
          </w:p>
        </w:tc>
        <w:tc>
          <w:tcPr>
            <w:tcW w:type="dxa" w:w="31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Priorización de indicadores</w:t>
            </w:r>
          </w:p>
        </w:tc>
      </w:tr>
      <w:tr>
        <w:trPr>
          <w:cantSplit/>
          <w:tblHeader w:val="false"/>
        </w:trPr>
        <w:tc>
          <w:tcPr>
            <w:tcW w:type="dxa" w:w="1600"/>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8</w:t>
            </w:r>
          </w:p>
        </w:tc>
        <w:tc>
          <w:tcPr>
            <w:tcW w:type="dxa" w:w="46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Catálogo digital, pruebas integrales, capacitación y entrega</w:t>
            </w:r>
          </w:p>
        </w:tc>
        <w:tc>
          <w:tcPr>
            <w:tcW w:type="dxa" w:w="31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Pruebas de aceptación y capacitación del equipo</w:t>
            </w:r>
          </w:p>
        </w:tc>
      </w:tr>
    </w:tbl>
    <w:p>
      <w:r>
        <w:br w:type="page"/>
      </w:r>
    </w:p>
    <w:p>
      <w:pPr>
        <w:pStyle w:val="Heading1"/>
        <w:pBdr>
          <w:bottom w:val="single" w:color="2E75B6" w:sz="8" w:space="4"/>
        </w:pBdr>
        <w:spacing w:after="160" w:before="320"/>
      </w:pPr>
      <w:r>
        <w:rPr>
          <w:rFonts w:ascii="Calibri" w:cs="Calibri" w:eastAsia="Calibri" w:hAnsi="Calibri"/>
          <w:b/>
          <w:bCs/>
          <w:color w:val="1F4E79"/>
          <w:sz w:val="28"/>
          <w:szCs w:val="28"/>
        </w:rPr>
        <w:t xml:space="preserve">5. Inversión</w:t>
      </w:r>
    </w:p>
    <w:p>
      <w:pPr>
        <w:spacing w:after="120" w:before="0" w:line="276"/>
      </w:pPr>
      <w:r>
        <w:rPr>
          <w:rFonts w:ascii="Calibri" w:cs="Calibri" w:eastAsia="Calibri" w:hAnsi="Calibri"/>
          <w:color w:val="000000"/>
          <w:sz w:val="21"/>
          <w:szCs w:val="21"/>
        </w:rPr>
        <w:t xml:space="preserve">Todos los valores están expresados en pesos colombianos (COP).</w:t>
      </w:r>
    </w:p>
    <w:p>
      <w:pPr>
        <w:spacing w:after="6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5860"/>
        <w:gridCol w:w="3500"/>
      </w:tblGrid>
      <w:tr>
        <w:trPr>
          <w:cantSplit/>
          <w:tblHeader/>
        </w:trPr>
        <w:tc>
          <w:tcPr>
            <w:tcW w:type="dxa" w:w="58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Concepto</w:t>
            </w:r>
          </w:p>
        </w:tc>
        <w:tc>
          <w:tcPr>
            <w:tcW w:type="dxa" w:w="3500"/>
            <w:shd w:fill="1F4E79" w:color="auto" w:val="clear"/>
            <w:tcMar>
              <w:top w:type="dxa" w:w="80"/>
              <w:left w:type="dxa" w:w="110"/>
              <w:bottom w:type="dxa" w:w="80"/>
              <w:right w:type="dxa" w:w="110"/>
            </w:tcMar>
            <w:vAlign w:val="center"/>
          </w:tcPr>
          <w:p>
            <w:pPr>
              <w:spacing w:after="0" w:line="260"/>
              <w:jc w:val="right"/>
            </w:pPr>
            <w:r>
              <w:rPr>
                <w:rFonts w:ascii="Calibri" w:cs="Calibri" w:eastAsia="Calibri" w:hAnsi="Calibri"/>
                <w:b/>
                <w:bCs/>
                <w:color w:val="FFFFFF"/>
                <w:sz w:val="20"/>
                <w:szCs w:val="20"/>
              </w:rPr>
              <w:t xml:space="preserve">Valor (COP)</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Valor de mercado del desarrollo del sistema ERP</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bCs/>
                <w:color w:val="000000"/>
                <w:sz w:val="20"/>
                <w:szCs w:val="20"/>
              </w:rPr>
              <w:t xml:space="preserve">$ 8.500.000</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1D6F42"/>
                <w:sz w:val="20"/>
                <w:szCs w:val="20"/>
              </w:rPr>
              <w:t xml:space="preserve">Descuento JCS Emprende</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1D6F42"/>
                <w:sz w:val="20"/>
                <w:szCs w:val="20"/>
              </w:rPr>
              <w:t xml:space="preserve">− $ 4.000.000</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1D6F42"/>
                <w:sz w:val="20"/>
                <w:szCs w:val="20"/>
              </w:rPr>
              <w:t xml:space="preserve">Descuento por base estructural del programa</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1D6F42"/>
                <w:sz w:val="20"/>
                <w:szCs w:val="20"/>
              </w:rPr>
              <w:t xml:space="preserve">− $ 1.000.000</w:t>
            </w:r>
          </w:p>
        </w:tc>
      </w:tr>
      <w:tr>
        <w:trPr>
          <w:cantSplit/>
          <w:tblHeader w:val="false"/>
        </w:trPr>
        <w:tc>
          <w:tcPr>
            <w:tcW w:type="dxa" w:w="5860"/>
            <w:shd w:fill="F2F2F2" w:color="auto" w:val="clear"/>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Subtotal — Desarrollo del sistema ERP</w:t>
            </w:r>
          </w:p>
        </w:tc>
        <w:tc>
          <w:tcPr>
            <w:tcW w:type="dxa" w:w="3500"/>
            <w:shd w:fill="F2F2F2" w:color="auto" w:val="clear"/>
            <w:tcMar>
              <w:top w:type="dxa" w:w="80"/>
              <w:left w:type="dxa" w:w="110"/>
              <w:bottom w:type="dxa" w:w="80"/>
              <w:right w:type="dxa" w:w="110"/>
            </w:tcMar>
            <w:vAlign w:val="center"/>
          </w:tcPr>
          <w:p>
            <w:pPr>
              <w:spacing w:after="0" w:line="260"/>
              <w:jc w:val="right"/>
            </w:pPr>
            <w:r>
              <w:rPr>
                <w:rFonts w:ascii="Calibri" w:cs="Calibri" w:eastAsia="Calibri" w:hAnsi="Calibri"/>
                <w:b/>
                <w:bCs/>
                <w:color w:val="000000"/>
                <w:sz w:val="20"/>
                <w:szCs w:val="20"/>
              </w:rPr>
              <w:t xml:space="preserve">$ 3.500.000</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Desarrollo de catálogo digital con carrito de compras</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000000"/>
                <w:sz w:val="20"/>
                <w:szCs w:val="20"/>
              </w:rPr>
              <w:t xml:space="preserve">$ 600.000</w:t>
            </w:r>
          </w:p>
        </w:tc>
      </w:tr>
      <w:tr>
        <w:trPr>
          <w:cantSplit/>
          <w:tblHeader w:val="false"/>
        </w:trPr>
        <w:tc>
          <w:tcPr>
            <w:tcW w:type="dxa" w:w="58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2"/>
                <w:szCs w:val="22"/>
              </w:rPr>
              <w:t xml:space="preserve">INVERSIÓN TOTAL DEL PROYECTO</w:t>
            </w:r>
          </w:p>
        </w:tc>
        <w:tc>
          <w:tcPr>
            <w:tcW w:type="dxa" w:w="3500"/>
            <w:shd w:fill="1F4E79" w:color="auto" w:val="clear"/>
            <w:tcMar>
              <w:top w:type="dxa" w:w="80"/>
              <w:left w:type="dxa" w:w="110"/>
              <w:bottom w:type="dxa" w:w="80"/>
              <w:right w:type="dxa" w:w="110"/>
            </w:tcMar>
            <w:vAlign w:val="center"/>
          </w:tcPr>
          <w:p>
            <w:pPr>
              <w:spacing w:after="0" w:line="260"/>
              <w:jc w:val="right"/>
            </w:pPr>
            <w:r>
              <w:rPr>
                <w:rFonts w:ascii="Calibri" w:cs="Calibri" w:eastAsia="Calibri" w:hAnsi="Calibri"/>
                <w:b/>
                <w:bCs/>
                <w:color w:val="FFFFFF"/>
                <w:sz w:val="22"/>
                <w:szCs w:val="22"/>
              </w:rPr>
              <w:t xml:space="preserve">$ 4.100.000</w:t>
            </w:r>
          </w:p>
        </w:tc>
      </w:tr>
    </w:tbl>
    <w:p>
      <w:pPr>
        <w:spacing w:after="140"/>
      </w:pPr>
    </w:p>
    <w:p>
      <w:pPr>
        <w:spacing w:after="120" w:before="0" w:line="276"/>
      </w:pPr>
      <w:r>
        <w:rPr>
          <w:rFonts w:ascii="Calibri" w:cs="Calibri" w:eastAsia="Calibri" w:hAnsi="Calibri"/>
          <w:b/>
          <w:bCs/>
          <w:color w:val="1D6F42"/>
          <w:sz w:val="21"/>
          <w:szCs w:val="21"/>
        </w:rPr>
        <w:t xml:space="preserve">Ahorro efectivo para TotalVet: $5.000.000 COP</w:t>
      </w:r>
      <w:r>
        <w:rPr>
          <w:rFonts w:ascii="Calibri" w:cs="Calibri" w:eastAsia="Calibri" w:hAnsi="Calibri"/>
          <w:color w:val="000000"/>
          <w:sz w:val="21"/>
          <w:szCs w:val="21"/>
        </w:rPr>
        <w:t xml:space="preserve"> — equivalente al 58,8% sobre el valor de mercado del desarrollo.</w:t>
      </w:r>
    </w:p>
    <w:p>
      <w:pPr>
        <w:spacing w:after="60"/>
      </w:pPr>
    </w:p>
    <w:tbl>
      <w:tblPr>
        <w:tblW w:type="dxa" w:w="9360"/>
        <w:tblBorders>
          <w:top w:val="single" w:color="F0F7F0" w:sz="2"/>
          <w:left w:val="single" w:color="1D6F42" w:sz="18"/>
          <w:bottom w:val="single" w:color="F0F7F0" w:sz="2"/>
          <w:right w:val="single" w:color="F0F7F0" w:sz="2"/>
          <w:insideH w:val="none"/>
          <w:insideV w:val="none"/>
        </w:tblBorders>
      </w:tblPr>
      <w:tblGrid>
        <w:gridCol w:w="9360"/>
      </w:tblGrid>
      <w:tr>
        <w:tc>
          <w:tcPr>
            <w:tcW w:type="dxa" w:w="9360"/>
            <w:shd w:fill="F0F7F0" w:color="auto" w:val="clear"/>
            <w:tcMar>
              <w:top w:type="dxa" w:w="140"/>
              <w:left w:type="dxa" w:w="180"/>
              <w:bottom w:type="dxa" w:w="140"/>
              <w:right w:type="dxa" w:w="180"/>
            </w:tcMar>
          </w:tcPr>
          <w:p>
            <w:pPr>
              <w:spacing w:after="80"/>
            </w:pPr>
            <w:r>
              <w:rPr>
                <w:rFonts w:ascii="Calibri" w:cs="Calibri" w:eastAsia="Calibri" w:hAnsi="Calibri"/>
                <w:b/>
                <w:bCs/>
                <w:color w:val="1D6F42"/>
                <w:sz w:val="21"/>
                <w:szCs w:val="21"/>
              </w:rPr>
              <w:t xml:space="preserve">Sobre los descuentos aplicados</w:t>
            </w:r>
          </w:p>
          <w:p>
            <w:pPr>
              <w:spacing w:after="60" w:line="264"/>
            </w:pPr>
            <w:r>
              <w:rPr>
                <w:rFonts w:ascii="Calibri" w:cs="Calibri" w:eastAsia="Calibri" w:hAnsi="Calibri"/>
                <w:sz w:val="20"/>
                <w:szCs w:val="20"/>
              </w:rPr>
              <w:t xml:space="preserve">Descuento JCS Emprende ($4.000.000): condición preferencial otorgada a negocios en crecimiento dentro del programa JCS Emprende. No es un descuento de lista ni es transferible a terceros.</w:t>
            </w:r>
          </w:p>
          <w:p>
            <w:pPr>
              <w:spacing w:after="60" w:line="264"/>
            </w:pPr>
            <w:r>
              <w:rPr>
                <w:rFonts w:ascii="Calibri" w:cs="Calibri" w:eastAsia="Calibri" w:hAnsi="Calibri"/>
                <w:sz w:val="20"/>
                <w:szCs w:val="20"/>
              </w:rPr>
              <w:t xml:space="preserve">Descuento por base estructural del programa ($1.000.000): reconoce que TotalVet se implementa sobre una base de código y un modelo de datos ya construidos y probados, lo que reduce el tiempo de desarrollo. Este beneficio existe porque el sistema es un estándar configurable y no un desarrollo hecho desde cero.</w:t>
            </w:r>
          </w:p>
        </w:tc>
      </w:tr>
    </w:tbl>
    <w:p>
      <w:pPr>
        <w:pStyle w:val="Heading2"/>
        <w:spacing w:after="100" w:before="240"/>
      </w:pPr>
      <w:r>
        <w:rPr>
          <w:rFonts w:ascii="Calibri" w:cs="Calibri" w:eastAsia="Calibri" w:hAnsi="Calibri"/>
          <w:b/>
          <w:bCs/>
          <w:color w:val="2E75B6"/>
          <w:sz w:val="23"/>
          <w:szCs w:val="23"/>
        </w:rPr>
        <w:t xml:space="preserve">5.1 Forma de pago</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3080"/>
        <w:gridCol w:w="3080"/>
      </w:tblGrid>
      <w:tr>
        <w:trPr>
          <w:cantSplit/>
          <w:tblHeader/>
        </w:trPr>
        <w:tc>
          <w:tcPr>
            <w:tcW w:type="dxa" w:w="32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Momento</w:t>
            </w:r>
          </w:p>
        </w:tc>
        <w:tc>
          <w:tcPr>
            <w:tcW w:type="dxa" w:w="3080"/>
            <w:shd w:fill="1F4E79"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Porcentaje</w:t>
            </w:r>
          </w:p>
        </w:tc>
        <w:tc>
          <w:tcPr>
            <w:tcW w:type="dxa" w:w="3080"/>
            <w:shd w:fill="1F4E79" w:color="auto" w:val="clear"/>
            <w:tcMar>
              <w:top w:type="dxa" w:w="80"/>
              <w:left w:type="dxa" w:w="110"/>
              <w:bottom w:type="dxa" w:w="80"/>
              <w:right w:type="dxa" w:w="110"/>
            </w:tcMar>
            <w:vAlign w:val="center"/>
          </w:tcPr>
          <w:p>
            <w:pPr>
              <w:spacing w:after="0" w:line="260"/>
              <w:jc w:val="right"/>
            </w:pPr>
            <w:r>
              <w:rPr>
                <w:rFonts w:ascii="Calibri" w:cs="Calibri" w:eastAsia="Calibri" w:hAnsi="Calibri"/>
                <w:b/>
                <w:bCs/>
                <w:color w:val="FFFFFF"/>
                <w:sz w:val="20"/>
                <w:szCs w:val="20"/>
              </w:rPr>
              <w:t xml:space="preserve">Valor (COP)</w:t>
            </w:r>
          </w:p>
        </w:tc>
      </w:tr>
      <w:tr>
        <w:trPr>
          <w:cantSplit/>
          <w:tblHeader w:val="false"/>
        </w:trPr>
        <w:tc>
          <w:tcPr>
            <w:tcW w:type="dxa" w:w="32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Anticipo para iniciar</w:t>
            </w:r>
          </w:p>
        </w:tc>
        <w:tc>
          <w:tcPr>
            <w:tcW w:type="dxa" w:w="3080"/>
            <w:tcMar>
              <w:top w:type="dxa" w:w="80"/>
              <w:left w:type="dxa" w:w="110"/>
              <w:bottom w:type="dxa" w:w="80"/>
              <w:right w:type="dxa" w:w="110"/>
            </w:tcMar>
            <w:vAlign w:val="center"/>
          </w:tcPr>
          <w:p>
            <w:pPr>
              <w:spacing w:after="0" w:line="260"/>
              <w:jc w:val="center"/>
            </w:pPr>
            <w:r>
              <w:rPr>
                <w:rFonts w:ascii="Calibri" w:cs="Calibri" w:eastAsia="Calibri" w:hAnsi="Calibri"/>
                <w:b/>
                <w:bCs/>
                <w:color w:val="000000"/>
                <w:sz w:val="20"/>
                <w:szCs w:val="20"/>
              </w:rPr>
              <w:t xml:space="preserve">50%</w:t>
            </w:r>
          </w:p>
        </w:tc>
        <w:tc>
          <w:tcPr>
            <w:tcW w:type="dxa" w:w="3080"/>
            <w:tcMar>
              <w:top w:type="dxa" w:w="80"/>
              <w:left w:type="dxa" w:w="110"/>
              <w:bottom w:type="dxa" w:w="80"/>
              <w:right w:type="dxa" w:w="110"/>
            </w:tcMar>
            <w:vAlign w:val="center"/>
          </w:tcPr>
          <w:p>
            <w:pPr>
              <w:spacing w:after="0" w:line="260"/>
              <w:jc w:val="right"/>
            </w:pPr>
            <w:r>
              <w:rPr>
                <w:rFonts w:ascii="Calibri" w:cs="Calibri" w:eastAsia="Calibri" w:hAnsi="Calibri"/>
                <w:b/>
                <w:bCs/>
                <w:color w:val="000000"/>
                <w:sz w:val="20"/>
                <w:szCs w:val="20"/>
              </w:rPr>
              <w:t xml:space="preserve">$ 2.050.000</w:t>
            </w:r>
          </w:p>
        </w:tc>
      </w:tr>
      <w:tr>
        <w:trPr>
          <w:cantSplit/>
          <w:tblHeader w:val="false"/>
        </w:trPr>
        <w:tc>
          <w:tcPr>
            <w:tcW w:type="dxa" w:w="32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Contra entrega del sistema</w:t>
            </w:r>
          </w:p>
        </w:tc>
        <w:tc>
          <w:tcPr>
            <w:tcW w:type="dxa" w:w="3080"/>
            <w:tcMar>
              <w:top w:type="dxa" w:w="80"/>
              <w:left w:type="dxa" w:w="110"/>
              <w:bottom w:type="dxa" w:w="80"/>
              <w:right w:type="dxa" w:w="110"/>
            </w:tcMar>
            <w:vAlign w:val="center"/>
          </w:tcPr>
          <w:p>
            <w:pPr>
              <w:spacing w:after="0" w:line="260"/>
              <w:jc w:val="center"/>
            </w:pPr>
            <w:r>
              <w:rPr>
                <w:rFonts w:ascii="Calibri" w:cs="Calibri" w:eastAsia="Calibri" w:hAnsi="Calibri"/>
                <w:b/>
                <w:bCs/>
                <w:color w:val="000000"/>
                <w:sz w:val="20"/>
                <w:szCs w:val="20"/>
              </w:rPr>
              <w:t xml:space="preserve">50%</w:t>
            </w:r>
          </w:p>
        </w:tc>
        <w:tc>
          <w:tcPr>
            <w:tcW w:type="dxa" w:w="3080"/>
            <w:tcMar>
              <w:top w:type="dxa" w:w="80"/>
              <w:left w:type="dxa" w:w="110"/>
              <w:bottom w:type="dxa" w:w="80"/>
              <w:right w:type="dxa" w:w="110"/>
            </w:tcMar>
            <w:vAlign w:val="center"/>
          </w:tcPr>
          <w:p>
            <w:pPr>
              <w:spacing w:after="0" w:line="260"/>
              <w:jc w:val="right"/>
            </w:pPr>
            <w:r>
              <w:rPr>
                <w:rFonts w:ascii="Calibri" w:cs="Calibri" w:eastAsia="Calibri" w:hAnsi="Calibri"/>
                <w:b/>
                <w:bCs/>
                <w:color w:val="000000"/>
                <w:sz w:val="20"/>
                <w:szCs w:val="20"/>
              </w:rPr>
              <w:t xml:space="preserve">$ 2.050.000</w:t>
            </w:r>
          </w:p>
        </w:tc>
      </w:tr>
      <w:tr>
        <w:trPr>
          <w:cantSplit/>
          <w:tblHeader w:val="false"/>
        </w:trPr>
        <w:tc>
          <w:tcPr>
            <w:tcW w:type="dxa" w:w="3200"/>
            <w:shd w:fill="F2F2F2" w:color="auto" w:val="clear"/>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Total</w:t>
            </w:r>
          </w:p>
        </w:tc>
        <w:tc>
          <w:tcPr>
            <w:tcW w:type="dxa" w:w="3080"/>
            <w:shd w:fill="F2F2F2"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000000"/>
                <w:sz w:val="20"/>
                <w:szCs w:val="20"/>
              </w:rPr>
              <w:t xml:space="preserve">100%</w:t>
            </w:r>
          </w:p>
        </w:tc>
        <w:tc>
          <w:tcPr>
            <w:tcW w:type="dxa" w:w="3080"/>
            <w:shd w:fill="F2F2F2" w:color="auto" w:val="clear"/>
            <w:tcMar>
              <w:top w:type="dxa" w:w="80"/>
              <w:left w:type="dxa" w:w="110"/>
              <w:bottom w:type="dxa" w:w="80"/>
              <w:right w:type="dxa" w:w="110"/>
            </w:tcMar>
            <w:vAlign w:val="center"/>
          </w:tcPr>
          <w:p>
            <w:pPr>
              <w:spacing w:after="0" w:line="260"/>
              <w:jc w:val="right"/>
            </w:pPr>
            <w:r>
              <w:rPr>
                <w:rFonts w:ascii="Calibri" w:cs="Calibri" w:eastAsia="Calibri" w:hAnsi="Calibri"/>
                <w:b/>
                <w:bCs/>
                <w:color w:val="000000"/>
                <w:sz w:val="20"/>
                <w:szCs w:val="20"/>
              </w:rPr>
              <w:t xml:space="preserve">$ 4.100.000</w:t>
            </w:r>
          </w:p>
        </w:tc>
      </w:tr>
    </w:tbl>
    <w:p>
      <w:pPr>
        <w:spacing w:after="140"/>
      </w:pPr>
    </w:p>
    <w:p>
      <w:pPr>
        <w:pStyle w:val="ListParagraph"/>
        <w:numPr>
          <w:ilvl w:val="0"/>
          <w:numId w:val="2"/>
        </w:numPr>
        <w:spacing w:after="60" w:line="276"/>
      </w:pPr>
      <w:r>
        <w:rPr>
          <w:rFonts w:ascii="Calibri" w:cs="Calibri" w:eastAsia="Calibri" w:hAnsi="Calibri"/>
          <w:sz w:val="21"/>
          <w:szCs w:val="21"/>
        </w:rPr>
        <w:t xml:space="preserve">El desarrollo inicia una vez confirmado el pago del anticipo del 50%.</w:t>
      </w:r>
    </w:p>
    <w:p>
      <w:pPr>
        <w:pStyle w:val="ListParagraph"/>
        <w:numPr>
          <w:ilvl w:val="0"/>
          <w:numId w:val="2"/>
        </w:numPr>
        <w:spacing w:after="60" w:line="276"/>
      </w:pPr>
      <w:r>
        <w:rPr>
          <w:rFonts w:ascii="Calibri" w:cs="Calibri" w:eastAsia="Calibri" w:hAnsi="Calibri"/>
          <w:sz w:val="21"/>
          <w:szCs w:val="21"/>
        </w:rPr>
        <w:t xml:space="preserve">El saldo del 50% se paga contra la entrega del sistema en funcionamiento, previa aprobación de las pruebas de aceptación.</w:t>
      </w:r>
    </w:p>
    <w:p>
      <w:pPr>
        <w:pStyle w:val="ListParagraph"/>
        <w:numPr>
          <w:ilvl w:val="0"/>
          <w:numId w:val="2"/>
        </w:numPr>
        <w:spacing w:after="60" w:line="276"/>
      </w:pPr>
      <w:r>
        <w:rPr>
          <w:rFonts w:ascii="Calibri" w:cs="Calibri" w:eastAsia="Calibri" w:hAnsi="Calibri"/>
          <w:sz w:val="21"/>
          <w:szCs w:val="21"/>
        </w:rPr>
        <w:t xml:space="preserve">Al tratarse de una operación entre Colombia y México, el medio de transferencia internacional y sus costos asociados se acuerdan entre las partes; los costos de la transferencia corren por cuenta de quien la origina.</w:t>
      </w:r>
    </w:p>
    <w:p>
      <w:r>
        <w:br w:type="page"/>
      </w:r>
    </w:p>
    <w:p>
      <w:pPr>
        <w:pStyle w:val="Heading1"/>
        <w:pBdr>
          <w:bottom w:val="single" w:color="2E75B6" w:sz="8" w:space="4"/>
        </w:pBdr>
        <w:spacing w:after="160" w:before="320"/>
      </w:pPr>
      <w:r>
        <w:rPr>
          <w:rFonts w:ascii="Calibri" w:cs="Calibri" w:eastAsia="Calibri" w:hAnsi="Calibri"/>
          <w:b/>
          <w:bCs/>
          <w:color w:val="1F4E79"/>
          <w:sz w:val="28"/>
          <w:szCs w:val="28"/>
        </w:rPr>
        <w:t xml:space="preserve">6. Qué no incluye esta propuesta</w:t>
      </w:r>
    </w:p>
    <w:p>
      <w:pPr>
        <w:spacing w:after="120" w:before="0" w:line="276"/>
      </w:pPr>
      <w:r>
        <w:rPr>
          <w:rFonts w:ascii="Calibri" w:cs="Calibri" w:eastAsia="Calibri" w:hAnsi="Calibri"/>
          <w:color w:val="000000"/>
          <w:sz w:val="21"/>
          <w:szCs w:val="21"/>
        </w:rPr>
        <w:t xml:space="preserve">Se detallan expresamente para evitar cualquier ambigüedad. Todos estos puntos pueden cotizarse por separado si TotalVet los requiere.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400"/>
        <w:gridCol w:w="5960"/>
      </w:tblGrid>
      <w:tr>
        <w:trPr>
          <w:cantSplit/>
          <w:tblHeader/>
        </w:trPr>
        <w:tc>
          <w:tcPr>
            <w:tcW w:type="dxa" w:w="34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Concepto</w:t>
            </w:r>
          </w:p>
        </w:tc>
        <w:tc>
          <w:tcPr>
            <w:tcW w:type="dxa" w:w="59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Detalle</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Montaje de fotografías de productos</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La captura, edición, optimización y carga de las imágenes de los productos no está incluida. Las fotografías las suministra TotalVet.</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Configuración y carga del catálogo</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La carga inicial de la información de los productos en el catálogo (nombres, descripciones, precios, líneas) no está incluida. Se estima un volumen no superior a 100 productos. TotalVet realiza esta carga con el sistema ya entregado y funcionando; JCS Emprende acompaña con el instructivo y resuelve dudas durante la capacitación.</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Capacidad de almacenamiento en Google Drive</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A la fecha no se están cobrando los costos de capacidad de almacenamiento en Drive ni los servicios adicionales de plataforma que puedan requerirse. El sistema opera sobre la infraestructura actual de JCS Emprende. Si en el futuro el volumen de información o de imágenes supera la capacidad disponible, se informará a TotalVet y se trasladará el costo del plan requerido, previa autorización expresa. Ver sección 7.3.</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Comisiones de pasarelas de pago</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Las comisiones que cobre la pasarela por cada transacción son pagadas directamente por TotalVet a la pasarela y no forman parte de esta propuesta.</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Facturación electrónica ante el SAT (CFDI)</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La integración con un proveedor autorizado de certificación para timbrar CFDI 4.0 en México no está incluida. Es un desarrollo específico que se cotiza aparte si TotalVet lo requiere.</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Migración de datos históricos</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La carga masiva de histórico de ventas, compras o cartera de años anteriores no está incluida.</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Dominio propio y correo corporativo</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El sistema se entrega sobre la dirección web provista por la plataforma. Si TotalVet desea un dominio propio, el costo del dominio y su configuración se cotizan aparte.</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Aplicaciones móviles nativas</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El sistema es una aplicación web adaptada a móvil. No incluye aplicaciones publicadas en App Store o Google Play.</w:t>
            </w:r>
          </w:p>
        </w:tc>
      </w:tr>
      <w:tr>
        <w:trPr>
          <w:cantSplit/>
          <w:tblHeader w:val="false"/>
        </w:trPr>
        <w:tc>
          <w:tcPr>
            <w:tcW w:type="dxa" w:w="34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Integraciones con terceros</w:t>
            </w:r>
          </w:p>
        </w:tc>
        <w:tc>
          <w:tcPr>
            <w:tcW w:type="dxa" w:w="59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Contabilidad externa, transportadoras, marketplaces o cualquier otro sistema de terceros no están contemplados.</w:t>
            </w:r>
          </w:p>
        </w:tc>
      </w:tr>
    </w:tbl>
    <w:p>
      <w:r>
        <w:br w:type="page"/>
      </w:r>
    </w:p>
    <w:p>
      <w:pPr>
        <w:pStyle w:val="Heading1"/>
        <w:pBdr>
          <w:bottom w:val="single" w:color="2E75B6" w:sz="8" w:space="4"/>
        </w:pBdr>
        <w:spacing w:after="160" w:before="320"/>
      </w:pPr>
      <w:r>
        <w:rPr>
          <w:rFonts w:ascii="Calibri" w:cs="Calibri" w:eastAsia="Calibri" w:hAnsi="Calibri"/>
          <w:b/>
          <w:bCs/>
          <w:color w:val="1F4E79"/>
          <w:sz w:val="28"/>
          <w:szCs w:val="28"/>
        </w:rPr>
        <w:t xml:space="preserve">7. Sostenimiento anual</w:t>
      </w:r>
    </w:p>
    <w:p>
      <w:pPr>
        <w:spacing w:after="120" w:before="0" w:line="276"/>
      </w:pPr>
      <w:r>
        <w:rPr>
          <w:rFonts w:ascii="Calibri" w:cs="Calibri" w:eastAsia="Calibri" w:hAnsi="Calibri"/>
          <w:color w:val="000000"/>
          <w:sz w:val="21"/>
          <w:szCs w:val="21"/>
        </w:rPr>
        <w:t xml:space="preserve">El desarrollo entrega un sistema funcionando. El sostenimiento garantiza que siga funcionando, se mantenga al día y evolucione con el negocio. Se factura de forma anual y comienza a regir al finalizar los 90 días de garantía incluidos en el desarrollo.</w:t>
      </w:r>
    </w:p>
    <w:p>
      <w:pPr>
        <w:pStyle w:val="Heading2"/>
        <w:spacing w:after="100" w:before="240"/>
      </w:pPr>
      <w:r>
        <w:rPr>
          <w:rFonts w:ascii="Calibri" w:cs="Calibri" w:eastAsia="Calibri" w:hAnsi="Calibri"/>
          <w:b/>
          <w:bCs/>
          <w:color w:val="2E75B6"/>
          <w:sz w:val="23"/>
          <w:szCs w:val="23"/>
        </w:rPr>
        <w:t xml:space="preserve">7.1 Planes disponibles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360"/>
        <w:gridCol w:w="2333"/>
        <w:gridCol w:w="2333"/>
        <w:gridCol w:w="2334"/>
      </w:tblGrid>
      <w:tr>
        <w:trPr>
          <w:cantSplit/>
          <w:tblHeader/>
        </w:trPr>
        <w:tc>
          <w:tcPr>
            <w:tcW w:type="dxa" w:w="23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Concepto</w:t>
            </w:r>
          </w:p>
        </w:tc>
        <w:tc>
          <w:tcPr>
            <w:tcW w:type="dxa" w:w="2333"/>
            <w:shd w:fill="1F4E79"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Esencial</w:t>
            </w:r>
          </w:p>
        </w:tc>
        <w:tc>
          <w:tcPr>
            <w:tcW w:type="dxa" w:w="2333"/>
            <w:shd w:fill="1D6F42"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Estándar (recomendado)</w:t>
            </w:r>
          </w:p>
        </w:tc>
        <w:tc>
          <w:tcPr>
            <w:tcW w:type="dxa" w:w="2334"/>
            <w:shd w:fill="1F4E79"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FFFFFF"/>
                <w:sz w:val="20"/>
                <w:szCs w:val="20"/>
              </w:rPr>
              <w:t xml:space="preserve">Evolutivo</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Valor anual (COP)</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$ 720.000</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bCs/>
                <w:color w:val="000000"/>
                <w:sz w:val="20"/>
                <w:szCs w:val="20"/>
              </w:rPr>
              <w:t xml:space="preserve">$ 1.200.000</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$ 2.400.000</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Equivalente mensual</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$ 60.000</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$ 100.000</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$ 200.000</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Corrección de errores</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Incluida</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Incluida</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Incluida</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Respaldo periódico de la información</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Mensual</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Semanal</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Semanal</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Soporte al usuario</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Correo, 48 h hábiles</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WhatsApp y correo, 24 h hábiles</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WhatsApp prioritario, 8 h hábiles</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Horas de ajustes menores</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2 h / mes</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6 h / mes</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14 h / mes</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Mejoras de la base estándar</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No</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Sí</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Sí, con prioridad</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Informes nuevos a la medida</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Se cotizan</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1 por trimestre</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1 por mes</w:t>
            </w:r>
          </w:p>
        </w:tc>
      </w:tr>
      <w:tr>
        <w:trPr>
          <w:cantSplit/>
          <w:tblHeader w:val="false"/>
        </w:trPr>
        <w:tc>
          <w:tcPr>
            <w:tcW w:type="dxa" w:w="23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Revisión de desempeño del sistema</w:t>
            </w:r>
          </w:p>
        </w:tc>
        <w:tc>
          <w:tcPr>
            <w:tcW w:type="dxa" w:w="2333"/>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Anual</w:t>
            </w:r>
          </w:p>
        </w:tc>
        <w:tc>
          <w:tcPr>
            <w:tcW w:type="dxa" w:w="2333"/>
            <w:shd w:fill="F0F7F0" w:color="auto" w:val="clear"/>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Semestral</w:t>
            </w:r>
          </w:p>
        </w:tc>
        <w:tc>
          <w:tcPr>
            <w:tcW w:type="dxa" w:w="2334"/>
            <w:tcMar>
              <w:top w:type="dxa" w:w="80"/>
              <w:left w:type="dxa" w:w="110"/>
              <w:bottom w:type="dxa" w:w="80"/>
              <w:right w:type="dxa" w:w="110"/>
            </w:tcMar>
            <w:vAlign w:val="center"/>
          </w:tcPr>
          <w:p>
            <w:pPr>
              <w:spacing w:after="0" w:line="260"/>
              <w:jc w:val="center"/>
            </w:pPr>
            <w:r>
              <w:rPr>
                <w:rFonts w:ascii="Calibri" w:cs="Calibri" w:eastAsia="Calibri" w:hAnsi="Calibri"/>
                <w:b w:val="false"/>
                <w:bCs w:val="false"/>
                <w:color w:val="000000"/>
                <w:sz w:val="20"/>
                <w:szCs w:val="20"/>
              </w:rPr>
              <w:t xml:space="preserve">Trimestral</w:t>
            </w:r>
          </w:p>
        </w:tc>
      </w:tr>
    </w:tbl>
    <w:p>
      <w:pPr>
        <w:spacing w:after="140"/>
      </w:pPr>
    </w:p>
    <w:tbl>
      <w:tblPr>
        <w:tblW w:type="dxa" w:w="9360"/>
        <w:tblBorders>
          <w:top w:val="single" w:color="F0F7F0" w:sz="2"/>
          <w:left w:val="single" w:color="1D6F42" w:sz="18"/>
          <w:bottom w:val="single" w:color="F0F7F0" w:sz="2"/>
          <w:right w:val="single" w:color="F0F7F0" w:sz="2"/>
          <w:insideH w:val="none"/>
          <w:insideV w:val="none"/>
        </w:tblBorders>
      </w:tblPr>
      <w:tblGrid>
        <w:gridCol w:w="9360"/>
      </w:tblGrid>
      <w:tr>
        <w:tc>
          <w:tcPr>
            <w:tcW w:type="dxa" w:w="9360"/>
            <w:shd w:fill="F0F7F0" w:color="auto" w:val="clear"/>
            <w:tcMar>
              <w:top w:type="dxa" w:w="140"/>
              <w:left w:type="dxa" w:w="180"/>
              <w:bottom w:type="dxa" w:w="140"/>
              <w:right w:type="dxa" w:w="180"/>
            </w:tcMar>
          </w:tcPr>
          <w:p>
            <w:pPr>
              <w:spacing w:after="80"/>
            </w:pPr>
            <w:r>
              <w:rPr>
                <w:rFonts w:ascii="Calibri" w:cs="Calibri" w:eastAsia="Calibri" w:hAnsi="Calibri"/>
                <w:b/>
                <w:bCs/>
                <w:color w:val="1D6F42"/>
                <w:sz w:val="21"/>
                <w:szCs w:val="21"/>
              </w:rPr>
              <w:t xml:space="preserve">Recomendación de JCS Emprende</w:t>
            </w:r>
          </w:p>
          <w:p>
            <w:pPr>
              <w:spacing w:after="60" w:line="264"/>
            </w:pPr>
            <w:r>
              <w:rPr>
                <w:rFonts w:ascii="Calibri" w:cs="Calibri" w:eastAsia="Calibri" w:hAnsi="Calibri"/>
                <w:sz w:val="20"/>
                <w:szCs w:val="20"/>
              </w:rPr>
              <w:t xml:space="preserve">Para una operación como la de TotalVet, el Plan Estándar de $1.200.000 COP anuales es el punto de equilibrio adecuado: cubre el soporte real que un negocio activo necesita, mantiene la instancia al día con las mejoras de la base estándar y deja margen para los ajustes que siempre surgen durante el primer año de uso.</w:t>
            </w:r>
          </w:p>
          <w:p>
            <w:pPr>
              <w:spacing w:after="60" w:line="264"/>
            </w:pPr>
            <w:r>
              <w:rPr>
                <w:rFonts w:ascii="Calibri" w:cs="Calibri" w:eastAsia="Calibri" w:hAnsi="Calibri"/>
                <w:sz w:val="20"/>
                <w:szCs w:val="20"/>
              </w:rPr>
              <w:t xml:space="preserve">Referencia de mercado: el sostenimiento anual de software empresarial se cotiza entre el 15% y el 25% del valor del desarrollo. El Plan Estándar equivale al 14% del valor de mercado del sistema ($8.500.000), es decir, por debajo del rango habitual del sector.</w:t>
            </w:r>
          </w:p>
        </w:tc>
      </w:tr>
    </w:tbl>
    <w:p>
      <w:pPr>
        <w:pStyle w:val="Heading2"/>
        <w:spacing w:after="100" w:before="240"/>
      </w:pPr>
      <w:r>
        <w:rPr>
          <w:rFonts w:ascii="Calibri" w:cs="Calibri" w:eastAsia="Calibri" w:hAnsi="Calibri"/>
          <w:b/>
          <w:bCs/>
          <w:color w:val="2E75B6"/>
          <w:sz w:val="23"/>
          <w:szCs w:val="23"/>
        </w:rPr>
        <w:t xml:space="preserve">7.2 Condiciones del sostenimiento</w:t>
      </w:r>
    </w:p>
    <w:p>
      <w:pPr>
        <w:pStyle w:val="ListParagraph"/>
        <w:numPr>
          <w:ilvl w:val="0"/>
          <w:numId w:val="2"/>
        </w:numPr>
        <w:spacing w:after="60" w:line="276"/>
      </w:pPr>
      <w:r>
        <w:rPr>
          <w:rFonts w:ascii="Calibri" w:cs="Calibri" w:eastAsia="Calibri" w:hAnsi="Calibri"/>
          <w:sz w:val="21"/>
          <w:szCs w:val="21"/>
        </w:rPr>
        <w:t xml:space="preserve">Los primeros 90 días posteriores a la entrega están cubiertos por la garantía del desarrollo, sin costo. El plan de sostenimiento comienza a partir del cuarto mes.</w:t>
      </w:r>
    </w:p>
    <w:p>
      <w:pPr>
        <w:pStyle w:val="ListParagraph"/>
        <w:numPr>
          <w:ilvl w:val="0"/>
          <w:numId w:val="2"/>
        </w:numPr>
        <w:spacing w:after="60" w:line="276"/>
      </w:pPr>
      <w:r>
        <w:rPr>
          <w:rFonts w:ascii="Calibri" w:cs="Calibri" w:eastAsia="Calibri" w:hAnsi="Calibri"/>
          <w:sz w:val="21"/>
          <w:szCs w:val="21"/>
        </w:rPr>
        <w:t xml:space="preserve">El pago es anual anticipado. Se admite pago semestral con un recargo del 10% sobre el valor proporcional.</w:t>
      </w:r>
    </w:p>
    <w:p>
      <w:pPr>
        <w:pStyle w:val="ListParagraph"/>
        <w:numPr>
          <w:ilvl w:val="0"/>
          <w:numId w:val="2"/>
        </w:numPr>
        <w:spacing w:after="60" w:line="276"/>
      </w:pPr>
      <w:r>
        <w:rPr>
          <w:rFonts w:ascii="Calibri" w:cs="Calibri" w:eastAsia="Calibri" w:hAnsi="Calibri"/>
          <w:sz w:val="21"/>
          <w:szCs w:val="21"/>
        </w:rPr>
        <w:t xml:space="preserve">Las horas de ajustes menores no son acumulables de un mes a otro.</w:t>
      </w:r>
    </w:p>
    <w:p>
      <w:pPr>
        <w:pStyle w:val="ListParagraph"/>
        <w:numPr>
          <w:ilvl w:val="0"/>
          <w:numId w:val="2"/>
        </w:numPr>
        <w:spacing w:after="60" w:line="276"/>
      </w:pPr>
      <w:r>
        <w:rPr>
          <w:rFonts w:ascii="Calibri" w:cs="Calibri" w:eastAsia="Calibri" w:hAnsi="Calibri"/>
          <w:sz w:val="21"/>
          <w:szCs w:val="21"/>
        </w:rPr>
        <w:t xml:space="preserve">Desarrollos nuevos que excedan el alcance del plan (módulos adicionales, integraciones, informes complejos) se cotizan por separado, con tarifa preferencial para clientes con plan de sostenimiento vigente.</w:t>
      </w:r>
    </w:p>
    <w:p>
      <w:pPr>
        <w:pStyle w:val="ListParagraph"/>
        <w:numPr>
          <w:ilvl w:val="0"/>
          <w:numId w:val="2"/>
        </w:numPr>
        <w:spacing w:after="60" w:line="276"/>
      </w:pPr>
      <w:r>
        <w:rPr>
          <w:rFonts w:ascii="Calibri" w:cs="Calibri" w:eastAsia="Calibri" w:hAnsi="Calibri"/>
          <w:sz w:val="21"/>
          <w:szCs w:val="21"/>
        </w:rPr>
        <w:t xml:space="preserve">El valor del plan se reajusta anualmente conforme al IPC de Colombia del año inmediatamente anterior.</w:t>
      </w:r>
    </w:p>
    <w:p>
      <w:pPr>
        <w:pStyle w:val="Heading2"/>
        <w:spacing w:after="100" w:before="240"/>
      </w:pPr>
      <w:r>
        <w:rPr>
          <w:rFonts w:ascii="Calibri" w:cs="Calibri" w:eastAsia="Calibri" w:hAnsi="Calibri"/>
          <w:b/>
          <w:bCs/>
          <w:color w:val="2E75B6"/>
          <w:sz w:val="23"/>
          <w:szCs w:val="23"/>
        </w:rPr>
        <w:t xml:space="preserve">7.3 Costos de plataforma no cobrados actualmente</w:t>
      </w:r>
    </w:p>
    <w:p>
      <w:pPr>
        <w:spacing w:after="120" w:before="0" w:line="276"/>
      </w:pPr>
      <w:r>
        <w:rPr>
          <w:rFonts w:ascii="Calibri" w:cs="Calibri" w:eastAsia="Calibri" w:hAnsi="Calibri"/>
          <w:color w:val="000000"/>
          <w:sz w:val="21"/>
          <w:szCs w:val="21"/>
        </w:rPr>
        <w:t xml:space="preserve">Este punto se aclara de forma expresa para transparencia de TotalVet:</w:t>
      </w:r>
    </w:p>
    <w:p>
      <w:pPr>
        <w:pStyle w:val="ListParagraph"/>
        <w:numPr>
          <w:ilvl w:val="0"/>
          <w:numId w:val="2"/>
        </w:numPr>
        <w:spacing w:after="60" w:line="276"/>
      </w:pPr>
      <w:r>
        <w:rPr>
          <w:rFonts w:ascii="Calibri" w:cs="Calibri" w:eastAsia="Calibri" w:hAnsi="Calibri"/>
          <w:sz w:val="21"/>
          <w:szCs w:val="21"/>
        </w:rPr>
        <w:t xml:space="preserve">Hoy no se están cobrando los costos de capacidad de almacenamiento en Google Drive ni los servicios de plataforma asociados. El sistema opera dentro de la infraestructura actual de JCS Emprende.</w:t>
      </w:r>
    </w:p>
    <w:p>
      <w:pPr>
        <w:pStyle w:val="ListParagraph"/>
        <w:numPr>
          <w:ilvl w:val="0"/>
          <w:numId w:val="2"/>
        </w:numPr>
        <w:spacing w:after="60" w:line="276"/>
      </w:pPr>
      <w:r>
        <w:rPr>
          <w:rFonts w:ascii="Calibri" w:cs="Calibri" w:eastAsia="Calibri" w:hAnsi="Calibri"/>
          <w:sz w:val="21"/>
          <w:szCs w:val="21"/>
        </w:rPr>
        <w:t xml:space="preserve">Estos costos no están incluidos ni en el valor del desarrollo ni en el valor del plan de sostenimiento.</w:t>
      </w:r>
    </w:p>
    <w:p>
      <w:pPr>
        <w:pStyle w:val="ListParagraph"/>
        <w:numPr>
          <w:ilvl w:val="0"/>
          <w:numId w:val="2"/>
        </w:numPr>
        <w:spacing w:after="60" w:line="276"/>
      </w:pPr>
      <w:r>
        <w:rPr>
          <w:rFonts w:ascii="Calibri" w:cs="Calibri" w:eastAsia="Calibri" w:hAnsi="Calibri"/>
          <w:sz w:val="21"/>
          <w:szCs w:val="21"/>
        </w:rPr>
        <w:t xml:space="preserve">Si el crecimiento de la operación de TotalVet (volumen de transacciones, imágenes del catálogo, documentos adjuntos) exige ampliar la capacidad de almacenamiento o contratar un plan de Google Workspace, JCS Emprende lo informará con anticipación, presentará el costo exacto y solo procederá con la autorización expresa de TotalVet. En ningún caso se cobrará sin aviso previo.</w:t>
      </w:r>
    </w:p>
    <w:p>
      <w:pPr>
        <w:spacing w:after="60"/>
      </w:pPr>
    </w:p>
    <w:tbl>
      <w:tblPr>
        <w:tblW w:type="dxa" w:w="9360"/>
        <w:tblBorders>
          <w:top w:val="single" w:color="FDF4E7" w:sz="2"/>
          <w:left w:val="single" w:color="B8791F" w:sz="18"/>
          <w:bottom w:val="single" w:color="FDF4E7" w:sz="2"/>
          <w:right w:val="single" w:color="FDF4E7" w:sz="2"/>
          <w:insideH w:val="none"/>
          <w:insideV w:val="none"/>
        </w:tblBorders>
      </w:tblPr>
      <w:tblGrid>
        <w:gridCol w:w="9360"/>
      </w:tblGrid>
      <w:tr>
        <w:tc>
          <w:tcPr>
            <w:tcW w:type="dxa" w:w="9360"/>
            <w:shd w:fill="FDF4E7" w:color="auto" w:val="clear"/>
            <w:tcMar>
              <w:top w:type="dxa" w:w="140"/>
              <w:left w:type="dxa" w:w="180"/>
              <w:bottom w:type="dxa" w:w="140"/>
              <w:right w:type="dxa" w:w="180"/>
            </w:tcMar>
          </w:tcPr>
          <w:p>
            <w:pPr>
              <w:spacing w:after="80"/>
            </w:pPr>
            <w:r>
              <w:rPr>
                <w:rFonts w:ascii="Calibri" w:cs="Calibri" w:eastAsia="Calibri" w:hAnsi="Calibri"/>
                <w:b/>
                <w:bCs/>
                <w:color w:val="B8791F"/>
                <w:sz w:val="21"/>
                <w:szCs w:val="21"/>
              </w:rPr>
              <w:t xml:space="preserve">Límite técnico conocido, declarado de frente</w:t>
            </w:r>
          </w:p>
          <w:p>
            <w:pPr>
              <w:spacing w:after="60" w:line="264"/>
            </w:pPr>
            <w:r>
              <w:rPr>
                <w:rFonts w:ascii="Calibri" w:cs="Calibri" w:eastAsia="Calibri" w:hAnsi="Calibri"/>
                <w:sz w:val="20"/>
                <w:szCs w:val="20"/>
              </w:rPr>
              <w:t xml:space="preserve">La plataforma de datos utilizada tiene cuotas de servicio (tiempo de ejecución por proceso, número de llamadas diarias y capacidad máxima de celdas por archivo). El modelo es plenamente adecuado para negocios pequeños y medianos.</w:t>
            </w:r>
          </w:p>
          <w:p>
            <w:pPr>
              <w:spacing w:after="60" w:line="264"/>
            </w:pPr>
            <w:r>
              <w:rPr>
                <w:rFonts w:ascii="Calibri" w:cs="Calibri" w:eastAsia="Calibri" w:hAnsi="Calibri"/>
                <w:sz w:val="20"/>
                <w:szCs w:val="20"/>
              </w:rPr>
              <w:t xml:space="preserve">Si en el futuro TotalVet crece de forma significativa en volumen transaccional, se deberá evaluar la migración a una base de datos dedicada. Esa migración sería un proyecto aparte, y JCS Emprende lo advertirá con la debida anticipación al detectar las señales en el monitoreo.</w:t>
            </w:r>
          </w:p>
        </w:tc>
      </w:tr>
    </w:tbl>
    <w:p>
      <w:r>
        <w:br w:type="page"/>
      </w:r>
    </w:p>
    <w:p>
      <w:pPr>
        <w:pStyle w:val="Heading1"/>
        <w:pBdr>
          <w:bottom w:val="single" w:color="2E75B6" w:sz="8" w:space="4"/>
        </w:pBdr>
        <w:spacing w:after="160" w:before="320"/>
      </w:pPr>
      <w:r>
        <w:rPr>
          <w:rFonts w:ascii="Calibri" w:cs="Calibri" w:eastAsia="Calibri" w:hAnsi="Calibri"/>
          <w:b/>
          <w:bCs/>
          <w:color w:val="1F4E79"/>
          <w:sz w:val="28"/>
          <w:szCs w:val="28"/>
        </w:rPr>
        <w:t xml:space="preserve">8. Pagos en línea en México (opción adicional)</w:t>
      </w:r>
    </w:p>
    <w:p>
      <w:pPr>
        <w:spacing w:after="120" w:before="0" w:line="276"/>
      </w:pPr>
      <w:r>
        <w:rPr>
          <w:rFonts w:ascii="Calibri" w:cs="Calibri" w:eastAsia="Calibri" w:hAnsi="Calibri"/>
          <w:color w:val="000000"/>
          <w:sz w:val="21"/>
          <w:szCs w:val="21"/>
        </w:rPr>
        <w:t xml:space="preserve">TotalVet consultó la posibilidad de que el catálogo digital reciba pagos a través de Mercado Pago. La respuesta corta es sí: es técnicamente viable y Mercado Pago es, de hecho, una de las mejores opciones disponibles en México.</w:t>
      </w:r>
    </w:p>
    <w:p>
      <w:pPr>
        <w:pStyle w:val="Heading2"/>
        <w:spacing w:after="100" w:before="240"/>
      </w:pPr>
      <w:r>
        <w:rPr>
          <w:rFonts w:ascii="Calibri" w:cs="Calibri" w:eastAsia="Calibri" w:hAnsi="Calibri"/>
          <w:b/>
          <w:bCs/>
          <w:color w:val="2E75B6"/>
          <w:sz w:val="23"/>
          <w:szCs w:val="23"/>
        </w:rPr>
        <w:t xml:space="preserve">8.1 Mercado Pago en México: viabilidad</w:t>
      </w:r>
    </w:p>
    <w:p>
      <w:pPr>
        <w:spacing w:after="120" w:before="0" w:line="276"/>
      </w:pPr>
      <w:r>
        <w:rPr>
          <w:rFonts w:ascii="Calibri" w:cs="Calibri" w:eastAsia="Calibri" w:hAnsi="Calibri"/>
          <w:color w:val="000000"/>
          <w:sz w:val="21"/>
          <w:szCs w:val="21"/>
        </w:rPr>
        <w:t xml:space="preserve">Mercado Pago opera plenamente en México y ofrece dos caminos de integración compatibles con la arquitectura de este sistema:</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560"/>
      </w:tblGrid>
      <w:tr>
        <w:trPr>
          <w:cantSplit/>
          <w:tblHeader/>
        </w:trPr>
        <w:tc>
          <w:tcPr>
            <w:tcW w:type="dxa" w:w="28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Modalidad</w:t>
            </w:r>
          </w:p>
        </w:tc>
        <w:tc>
          <w:tcPr>
            <w:tcW w:type="dxa" w:w="65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Descripción</w:t>
            </w:r>
          </w:p>
        </w:tc>
      </w:tr>
      <w:tr>
        <w:trPr>
          <w:cantSplit/>
          <w:tblHeader w:val="false"/>
        </w:trPr>
        <w:tc>
          <w:tcPr>
            <w:tcW w:type="dxa" w:w="28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Link de pago (sin desarrollo)</w:t>
            </w:r>
          </w:p>
        </w:tc>
        <w:tc>
          <w:tcPr>
            <w:tcW w:type="dxa" w:w="65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TotalVet genera manualmente un enlace de cobro desde su cuenta de Mercado Pago y lo envía al cliente por WhatsApp, junto con la cotización que produce el catálogo. No requiere desarrollo adicional y funciona desde el primer día. Es el flujo que ya contempla el catálogo incluido en esta propuesta.</w:t>
            </w:r>
          </w:p>
        </w:tc>
      </w:tr>
      <w:tr>
        <w:trPr>
          <w:cantSplit/>
          <w:tblHeader w:val="false"/>
        </w:trPr>
        <w:tc>
          <w:tcPr>
            <w:tcW w:type="dxa" w:w="28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Checkout Pro (integrado)</w:t>
            </w:r>
          </w:p>
        </w:tc>
        <w:tc>
          <w:tcPr>
            <w:tcW w:type="dxa" w:w="65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El cliente paga directamente desde el carrito, sin salir del flujo ni esperar a que un vendedor le envíe un enlace. Al confirmarse el pago, el sistema recibe la notificación automática, marca el pedido como pagado y registra la venta con su cuenta por cobrar saldada. Requiere el desarrollo que se cotiza en la sección 8.4.</w:t>
            </w:r>
          </w:p>
        </w:tc>
      </w:tr>
    </w:tbl>
    <w:p>
      <w:pPr>
        <w:spacing w:after="140"/>
      </w:pPr>
    </w:p>
    <w:p>
      <w:pPr>
        <w:spacing w:after="120" w:before="0" w:line="276"/>
      </w:pPr>
      <w:r>
        <w:rPr>
          <w:rFonts w:ascii="Calibri" w:cs="Calibri" w:eastAsia="Calibri" w:hAnsi="Calibri"/>
          <w:b/>
          <w:bCs/>
          <w:color w:val="000000"/>
          <w:sz w:val="21"/>
          <w:szCs w:val="21"/>
        </w:rPr>
        <w:t xml:space="preserve">Sobre la pregunta de si existe en México algo equivalente a Bold de Colombia: </w:t>
      </w:r>
      <w:r>
        <w:rPr>
          <w:rFonts w:ascii="Calibri" w:cs="Calibri" w:eastAsia="Calibri" w:hAnsi="Calibri"/>
          <w:color w:val="000000"/>
          <w:sz w:val="21"/>
          <w:szCs w:val="21"/>
        </w:rPr>
        <w:t xml:space="preserve">sí. Los análogos más directos son Clip (terminales físicas y enlaces de cobro, el competidor más parecido a Bold) y el propio Mercado Pago con su terminal Point y cobros por código QR. Para venta en línea, el mercado mexicano está más desarrollado que el colombiano y ofrece más alternativas.</w:t>
      </w:r>
    </w:p>
    <w:p>
      <w:pPr>
        <w:pStyle w:val="Heading2"/>
        <w:spacing w:after="100" w:before="240"/>
      </w:pPr>
      <w:r>
        <w:rPr>
          <w:rFonts w:ascii="Calibri" w:cs="Calibri" w:eastAsia="Calibri" w:hAnsi="Calibri"/>
          <w:b/>
          <w:bCs/>
          <w:color w:val="2E75B6"/>
          <w:sz w:val="23"/>
          <w:szCs w:val="23"/>
        </w:rPr>
        <w:t xml:space="preserve">8.2 Alternativas disponibles en México</w:t>
      </w:r>
    </w:p>
    <w:p>
      <w:pPr>
        <w:spacing w:after="120" w:before="0" w:line="276"/>
      </w:pPr>
      <w:r>
        <w:rPr>
          <w:rFonts w:ascii="Calibri" w:cs="Calibri" w:eastAsia="Calibri" w:hAnsi="Calibri"/>
          <w:color w:val="000000"/>
          <w:sz w:val="21"/>
          <w:szCs w:val="21"/>
        </w:rPr>
        <w:t xml:space="preserve">Comisiones de referencia vigentes a agosto de 2026. Todas las comisiones las cobra la pasarela directamente a TotalVet; JCS Emprende no participa de ellas.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2200"/>
        <w:gridCol w:w="2630"/>
        <w:gridCol w:w="2630"/>
      </w:tblGrid>
      <w:tr>
        <w:trPr>
          <w:cantSplit/>
          <w:tblHeader/>
        </w:trPr>
        <w:tc>
          <w:tcPr>
            <w:tcW w:type="dxa" w:w="19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Pasarela</w:t>
            </w:r>
          </w:p>
        </w:tc>
        <w:tc>
          <w:tcPr>
            <w:tcW w:type="dxa" w:w="220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Comisión en línea</w:t>
            </w:r>
          </w:p>
        </w:tc>
        <w:tc>
          <w:tcPr>
            <w:tcW w:type="dxa" w:w="263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Métodos de pago</w:t>
            </w:r>
          </w:p>
        </w:tc>
        <w:tc>
          <w:tcPr>
            <w:tcW w:type="dxa" w:w="263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Observación</w:t>
            </w:r>
          </w:p>
        </w:tc>
      </w:tr>
      <w:tr>
        <w:trPr>
          <w:cantSplit/>
          <w:tblHeader w:val="false"/>
        </w:trPr>
        <w:tc>
          <w:tcPr>
            <w:tcW w:type="dxa" w:w="19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Mercado Pago</w:t>
            </w:r>
          </w:p>
        </w:tc>
        <w:tc>
          <w:tcPr>
            <w:tcW w:type="dxa" w:w="22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3,49% + $4 MXN + IVA (inmediato); 2,95% + $4 MXN a 30 días</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Tarjetas, SPEI, OXXO, QR presencial, meses sin intereses</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La más completa y la de mayor reconocimiento entre compradores mexicanos. Recomendada.</w:t>
            </w:r>
          </w:p>
        </w:tc>
      </w:tr>
      <w:tr>
        <w:trPr>
          <w:cantSplit/>
          <w:tblHeader w:val="false"/>
        </w:trPr>
        <w:tc>
          <w:tcPr>
            <w:tcW w:type="dxa" w:w="19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Conekta</w:t>
            </w:r>
          </w:p>
        </w:tc>
        <w:tc>
          <w:tcPr>
            <w:tcW w:type="dxa" w:w="22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3,4% + $3 MXN + IVA</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Tarjetas, SPEI, OXXO, meses sin intereses</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Comisión base más baja. Empresa 100% mexicana, buena para volumen alto.</w:t>
            </w:r>
          </w:p>
        </w:tc>
      </w:tr>
      <w:tr>
        <w:trPr>
          <w:cantSplit/>
          <w:tblHeader w:val="false"/>
        </w:trPr>
        <w:tc>
          <w:tcPr>
            <w:tcW w:type="dxa" w:w="19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Stripe</w:t>
            </w:r>
          </w:p>
        </w:tc>
        <w:tc>
          <w:tcPr>
            <w:tcW w:type="dxa" w:w="22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3,6% + $3 MXN (IVA incluido)</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Tarjetas y meses sin intereses. No maneja OXXO ni SPEI.</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La mejor documentación técnica y la integración más limpia, pero deja fuera el pago en efectivo.</w:t>
            </w:r>
          </w:p>
        </w:tc>
      </w:tr>
      <w:tr>
        <w:trPr>
          <w:cantSplit/>
          <w:tblHeader w:val="false"/>
        </w:trPr>
        <w:tc>
          <w:tcPr>
            <w:tcW w:type="dxa" w:w="19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Clip</w:t>
            </w:r>
          </w:p>
        </w:tc>
        <w:tc>
          <w:tcPr>
            <w:tcW w:type="dxa" w:w="22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Variable según plan; enlaces de cobro y terminal</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Tarjetas presenciales y en línea, enlaces de cobro</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El equivalente más cercano a Bold. Fuerte en cobro presencial, más limitado para carrito en línea.</w:t>
            </w:r>
          </w:p>
        </w:tc>
      </w:tr>
      <w:tr>
        <w:trPr>
          <w:cantSplit/>
          <w:tblHeader w:val="false"/>
        </w:trPr>
        <w:tc>
          <w:tcPr>
            <w:tcW w:type="dxa" w:w="190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PayPal</w:t>
            </w:r>
          </w:p>
        </w:tc>
        <w:tc>
          <w:tcPr>
            <w:tcW w:type="dxa" w:w="220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Superior a las anteriores en la mayoría de escenarios</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Tarjetas y saldo PayPal</w:t>
            </w:r>
          </w:p>
        </w:tc>
        <w:tc>
          <w:tcPr>
            <w:tcW w:type="dxa" w:w="263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Útil como método complementario si TotalVet vende fuera de México.</w:t>
            </w:r>
          </w:p>
        </w:tc>
      </w:tr>
    </w:tbl>
    <w:p>
      <w:pPr>
        <w:spacing w:after="140"/>
      </w:pPr>
    </w:p>
    <w:tbl>
      <w:tblPr>
        <w:tblW w:type="dxa" w:w="9360"/>
        <w:tblBorders>
          <w:top w:val="single" w:color="EAF1F8" w:sz="2"/>
          <w:left w:val="single" w:color="1F4E79" w:sz="18"/>
          <w:bottom w:val="single" w:color="EAF1F8" w:sz="2"/>
          <w:right w:val="single" w:color="EAF1F8" w:sz="2"/>
          <w:insideH w:val="none"/>
          <w:insideV w:val="none"/>
        </w:tblBorders>
      </w:tblPr>
      <w:tblGrid>
        <w:gridCol w:w="9360"/>
      </w:tblGrid>
      <w:tr>
        <w:tc>
          <w:tcPr>
            <w:tcW w:type="dxa" w:w="9360"/>
            <w:shd w:fill="EAF1F8" w:color="auto" w:val="clear"/>
            <w:tcMar>
              <w:top w:type="dxa" w:w="140"/>
              <w:left w:type="dxa" w:w="180"/>
              <w:bottom w:type="dxa" w:w="140"/>
              <w:right w:type="dxa" w:w="180"/>
            </w:tcMar>
          </w:tcPr>
          <w:p>
            <w:pPr>
              <w:spacing w:after="80"/>
            </w:pPr>
            <w:r>
              <w:rPr>
                <w:rFonts w:ascii="Calibri" w:cs="Calibri" w:eastAsia="Calibri" w:hAnsi="Calibri"/>
                <w:b/>
                <w:bCs/>
                <w:color w:val="1F4E79"/>
                <w:sz w:val="21"/>
                <w:szCs w:val="21"/>
              </w:rPr>
              <w:t xml:space="preserve">Recomendación técnica</w:t>
            </w:r>
          </w:p>
          <w:p>
            <w:pPr>
              <w:spacing w:after="60" w:line="264"/>
            </w:pPr>
            <w:r>
              <w:rPr>
                <w:rFonts w:ascii="Calibri" w:cs="Calibri" w:eastAsia="Calibri" w:hAnsi="Calibri"/>
                <w:sz w:val="20"/>
                <w:szCs w:val="20"/>
              </w:rPr>
              <w:t xml:space="preserve">Mercado Pago con Checkout Pro. Razones: es la marca de pago con mayor confianza del consumidor mexicano, admite pago en efectivo en OXXO y transferencia SPEI (que en México siguen pesando mucho frente a la tarjeta), permite meses sin intereses, y su costo por transacción es competitivo si TotalVet acepta el plazo de acreditación a 30 días (2,95% en lugar de 3,49%).</w:t>
            </w:r>
          </w:p>
          <w:p>
            <w:pPr>
              <w:spacing w:after="60" w:line="264"/>
            </w:pPr>
            <w:r>
              <w:rPr>
                <w:rFonts w:ascii="Calibri" w:cs="Calibri" w:eastAsia="Calibri" w:hAnsi="Calibri"/>
                <w:sz w:val="20"/>
                <w:szCs w:val="20"/>
              </w:rPr>
              <w:t xml:space="preserve">Si más adelante el volumen crece y el 100% de las ventas se cobra con tarjeta, vale la pena reevaluar Conekta por su comisión base más baja.</w:t>
            </w:r>
          </w:p>
        </w:tc>
      </w:tr>
    </w:tbl>
    <w:p>
      <w:r>
        <w:br w:type="page"/>
      </w:r>
    </w:p>
    <w:p>
      <w:pPr>
        <w:pStyle w:val="Heading2"/>
        <w:spacing w:after="100" w:before="240"/>
      </w:pPr>
      <w:r>
        <w:rPr>
          <w:rFonts w:ascii="Calibri" w:cs="Calibri" w:eastAsia="Calibri" w:hAnsi="Calibri"/>
          <w:b/>
          <w:bCs/>
          <w:color w:val="2E75B6"/>
          <w:sz w:val="23"/>
          <w:szCs w:val="23"/>
        </w:rPr>
        <w:t xml:space="preserve">8.3 Qué incluye el desarrollo de la integración</w:t>
      </w:r>
    </w:p>
    <w:p>
      <w:pPr>
        <w:pStyle w:val="ListParagraph"/>
        <w:numPr>
          <w:ilvl w:val="0"/>
          <w:numId w:val="2"/>
        </w:numPr>
        <w:spacing w:after="60" w:line="276"/>
      </w:pPr>
      <w:r>
        <w:rPr>
          <w:rFonts w:ascii="Calibri" w:cs="Calibri" w:eastAsia="Calibri" w:hAnsi="Calibri"/>
          <w:sz w:val="21"/>
          <w:szCs w:val="21"/>
        </w:rPr>
        <w:t xml:space="preserve">Conexión del carrito del catálogo con la pasarela seleccionada, con generación automática de la orden de cobro por el valor y los productos del pedido.</w:t>
      </w:r>
    </w:p>
    <w:p>
      <w:pPr>
        <w:pStyle w:val="ListParagraph"/>
        <w:numPr>
          <w:ilvl w:val="0"/>
          <w:numId w:val="2"/>
        </w:numPr>
        <w:spacing w:after="60" w:line="276"/>
      </w:pPr>
      <w:r>
        <w:rPr>
          <w:rFonts w:ascii="Calibri" w:cs="Calibri" w:eastAsia="Calibri" w:hAnsi="Calibri"/>
          <w:sz w:val="21"/>
          <w:szCs w:val="21"/>
        </w:rPr>
        <w:t xml:space="preserve">Redirección del cliente a la pantalla de pago segura de la pasarela y retorno al catálogo con el resultado de la operación.</w:t>
      </w:r>
    </w:p>
    <w:p>
      <w:pPr>
        <w:pStyle w:val="ListParagraph"/>
        <w:numPr>
          <w:ilvl w:val="0"/>
          <w:numId w:val="2"/>
        </w:numPr>
        <w:spacing w:after="60" w:line="276"/>
      </w:pPr>
      <w:r>
        <w:rPr>
          <w:rFonts w:ascii="Calibri" w:cs="Calibri" w:eastAsia="Calibri" w:hAnsi="Calibri"/>
          <w:sz w:val="21"/>
          <w:szCs w:val="21"/>
        </w:rPr>
        <w:t xml:space="preserve">Recepción automática de la confirmación de pago desde la pasarela (notificación en tiempo real).</w:t>
      </w:r>
    </w:p>
    <w:p>
      <w:pPr>
        <w:pStyle w:val="ListParagraph"/>
        <w:numPr>
          <w:ilvl w:val="0"/>
          <w:numId w:val="2"/>
        </w:numPr>
        <w:spacing w:after="60" w:line="276"/>
      </w:pPr>
      <w:r>
        <w:rPr>
          <w:rFonts w:ascii="Calibri" w:cs="Calibri" w:eastAsia="Calibri" w:hAnsi="Calibri"/>
          <w:sz w:val="21"/>
          <w:szCs w:val="21"/>
        </w:rPr>
        <w:t xml:space="preserve">Actualización automática del estado del pedido: la cotización se convierte en venta, se descuenta el inventario y la cuenta por cobrar queda saldada, sin intervención manual.</w:t>
      </w:r>
    </w:p>
    <w:p>
      <w:pPr>
        <w:pStyle w:val="ListParagraph"/>
        <w:numPr>
          <w:ilvl w:val="0"/>
          <w:numId w:val="2"/>
        </w:numPr>
        <w:spacing w:after="60" w:line="276"/>
      </w:pPr>
      <w:r>
        <w:rPr>
          <w:rFonts w:ascii="Calibri" w:cs="Calibri" w:eastAsia="Calibri" w:hAnsi="Calibri"/>
          <w:sz w:val="21"/>
          <w:szCs w:val="21"/>
        </w:rPr>
        <w:t xml:space="preserve">Manejo de los tres desenlaces posibles: pago aprobado, pago rechazado y pago pendiente (caso típico de OXXO y SPEI, donde el cliente paga horas después).</w:t>
      </w:r>
    </w:p>
    <w:p>
      <w:pPr>
        <w:pStyle w:val="ListParagraph"/>
        <w:numPr>
          <w:ilvl w:val="0"/>
          <w:numId w:val="2"/>
        </w:numPr>
        <w:spacing w:after="60" w:line="276"/>
      </w:pPr>
      <w:r>
        <w:rPr>
          <w:rFonts w:ascii="Calibri" w:cs="Calibri" w:eastAsia="Calibri" w:hAnsi="Calibri"/>
          <w:sz w:val="21"/>
          <w:szCs w:val="21"/>
        </w:rPr>
        <w:t xml:space="preserve">Pantalla de consulta de pagos recibidos dentro del panel administrativo.</w:t>
      </w:r>
    </w:p>
    <w:p>
      <w:pPr>
        <w:pStyle w:val="ListParagraph"/>
        <w:numPr>
          <w:ilvl w:val="0"/>
          <w:numId w:val="2"/>
        </w:numPr>
        <w:spacing w:after="60" w:line="276"/>
      </w:pPr>
      <w:r>
        <w:rPr>
          <w:rFonts w:ascii="Calibri" w:cs="Calibri" w:eastAsia="Calibri" w:hAnsi="Calibri"/>
          <w:sz w:val="21"/>
          <w:szCs w:val="21"/>
        </w:rPr>
        <w:t xml:space="preserve">Pruebas completas en ambiente de prueba de la pasarela antes de pasar a producción.</w:t>
      </w:r>
    </w:p>
    <w:p>
      <w:pPr>
        <w:pStyle w:val="Heading2"/>
        <w:spacing w:after="100" w:before="240"/>
      </w:pPr>
      <w:r>
        <w:rPr>
          <w:rFonts w:ascii="Calibri" w:cs="Calibri" w:eastAsia="Calibri" w:hAnsi="Calibri"/>
          <w:b/>
          <w:bCs/>
          <w:color w:val="2E75B6"/>
          <w:sz w:val="23"/>
          <w:szCs w:val="23"/>
        </w:rPr>
        <w:t xml:space="preserve">8.4 Valor de la integración</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5860"/>
        <w:gridCol w:w="3500"/>
      </w:tblGrid>
      <w:tr>
        <w:trPr>
          <w:cantSplit/>
          <w:tblHeader/>
        </w:trPr>
        <w:tc>
          <w:tcPr>
            <w:tcW w:type="dxa" w:w="58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Concepto</w:t>
            </w:r>
          </w:p>
        </w:tc>
        <w:tc>
          <w:tcPr>
            <w:tcW w:type="dxa" w:w="3500"/>
            <w:shd w:fill="1F4E79" w:color="auto" w:val="clear"/>
            <w:tcMar>
              <w:top w:type="dxa" w:w="80"/>
              <w:left w:type="dxa" w:w="110"/>
              <w:bottom w:type="dxa" w:w="80"/>
              <w:right w:type="dxa" w:w="110"/>
            </w:tcMar>
            <w:vAlign w:val="center"/>
          </w:tcPr>
          <w:p>
            <w:pPr>
              <w:spacing w:after="0" w:line="260"/>
              <w:jc w:val="right"/>
            </w:pPr>
            <w:r>
              <w:rPr>
                <w:rFonts w:ascii="Calibri" w:cs="Calibri" w:eastAsia="Calibri" w:hAnsi="Calibri"/>
                <w:b/>
                <w:bCs/>
                <w:color w:val="FFFFFF"/>
                <w:sz w:val="20"/>
                <w:szCs w:val="20"/>
              </w:rPr>
              <w:t xml:space="preserve">Valor (COP)</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Integración del catálogo con pasarela de pago (Mercado Pago Checkout Pro)</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bCs/>
                <w:color w:val="000000"/>
                <w:sz w:val="20"/>
                <w:szCs w:val="20"/>
              </w:rPr>
              <w:t xml:space="preserve">$ 800.000</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Alternativa: integración con Conekta o Stripe (mismo alcance)</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000000"/>
                <w:sz w:val="20"/>
                <w:szCs w:val="20"/>
              </w:rPr>
              <w:t xml:space="preserve">$ 800.000</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Pasarela adicional, contratada junto con la primera</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000000"/>
                <w:sz w:val="20"/>
                <w:szCs w:val="20"/>
              </w:rPr>
              <w:t xml:space="preserve">$ 400.000</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1D6F42"/>
                <w:sz w:val="20"/>
                <w:szCs w:val="20"/>
              </w:rPr>
              <w:t xml:space="preserve">Flujo actual sin pasarela: carrito → cotización → WhatsApp → enlace de pago manual</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bCs/>
                <w:color w:val="1D6F42"/>
                <w:sz w:val="20"/>
                <w:szCs w:val="20"/>
              </w:rPr>
              <w:t xml:space="preserve">Incluido</w:t>
            </w:r>
          </w:p>
        </w:tc>
      </w:tr>
    </w:tbl>
    <w:p>
      <w:pPr>
        <w:spacing w:after="140"/>
      </w:pPr>
    </w:p>
    <w:p>
      <w:pPr>
        <w:spacing w:after="120" w:before="0" w:line="276"/>
      </w:pPr>
      <w:r>
        <w:rPr>
          <w:rFonts w:ascii="Calibri" w:cs="Calibri" w:eastAsia="Calibri" w:hAnsi="Calibri"/>
          <w:b w:val="false"/>
          <w:bCs w:val="false"/>
          <w:color w:val="000000"/>
          <w:sz w:val="21"/>
          <w:szCs w:val="21"/>
        </w:rPr>
        <w:t xml:space="preserve">Si TotalVet decide contratar la integración junto con el proyecto principal, </w:t>
      </w:r>
      <w:r>
        <w:rPr>
          <w:rFonts w:ascii="Calibri" w:cs="Calibri" w:eastAsia="Calibri" w:hAnsi="Calibri"/>
          <w:b/>
          <w:bCs/>
          <w:color w:val="000000"/>
          <w:sz w:val="21"/>
          <w:szCs w:val="21"/>
        </w:rPr>
        <w:t xml:space="preserve">la inversión total pasaría de $4.100.000 a $4.900.000 COP</w:t>
      </w:r>
      <w:r>
        <w:rPr>
          <w:rFonts w:ascii="Calibri" w:cs="Calibri" w:eastAsia="Calibri" w:hAnsi="Calibri"/>
          <w:color w:val="000000"/>
          <w:sz w:val="21"/>
          <w:szCs w:val="21"/>
        </w:rPr>
        <w:t xml:space="preserve">, manteniendo la misma condición de 50% para iniciar y 50% contra entrega ($2.450.000 cada pago).</w:t>
      </w:r>
    </w:p>
    <w:p>
      <w:pPr>
        <w:pStyle w:val="Heading2"/>
        <w:spacing w:after="100" w:before="240"/>
      </w:pPr>
      <w:r>
        <w:rPr>
          <w:rFonts w:ascii="Calibri" w:cs="Calibri" w:eastAsia="Calibri" w:hAnsi="Calibri"/>
          <w:b/>
          <w:bCs/>
          <w:color w:val="2E75B6"/>
          <w:sz w:val="23"/>
          <w:szCs w:val="23"/>
        </w:rPr>
        <w:t xml:space="preserve">8.5 Requisitos a cargo de TotalVet</w:t>
      </w:r>
    </w:p>
    <w:p>
      <w:pPr>
        <w:pStyle w:val="ListParagraph"/>
        <w:numPr>
          <w:ilvl w:val="0"/>
          <w:numId w:val="2"/>
        </w:numPr>
        <w:spacing w:after="60" w:line="276"/>
      </w:pPr>
      <w:r>
        <w:rPr>
          <w:rFonts w:ascii="Calibri" w:cs="Calibri" w:eastAsia="Calibri" w:hAnsi="Calibri"/>
          <w:sz w:val="21"/>
          <w:szCs w:val="21"/>
        </w:rPr>
        <w:t xml:space="preserve">Cuenta de Mercado Pago (o de la pasarela elegida) creada y verificada en México, a nombre de TotalVet.</w:t>
      </w:r>
    </w:p>
    <w:p>
      <w:pPr>
        <w:pStyle w:val="ListParagraph"/>
        <w:numPr>
          <w:ilvl w:val="0"/>
          <w:numId w:val="2"/>
        </w:numPr>
        <w:spacing w:after="60" w:line="276"/>
      </w:pPr>
      <w:r>
        <w:rPr>
          <w:rFonts w:ascii="Calibri" w:cs="Calibri" w:eastAsia="Calibri" w:hAnsi="Calibri"/>
          <w:sz w:val="21"/>
          <w:szCs w:val="21"/>
        </w:rPr>
        <w:t xml:space="preserve">RFC y cuenta bancaria mexicana registrada para recibir las liquidaciones.</w:t>
      </w:r>
    </w:p>
    <w:p>
      <w:pPr>
        <w:pStyle w:val="ListParagraph"/>
        <w:numPr>
          <w:ilvl w:val="0"/>
          <w:numId w:val="2"/>
        </w:numPr>
        <w:spacing w:after="60" w:line="276"/>
      </w:pPr>
      <w:r>
        <w:rPr>
          <w:rFonts w:ascii="Calibri" w:cs="Calibri" w:eastAsia="Calibri" w:hAnsi="Calibri"/>
          <w:sz w:val="21"/>
          <w:szCs w:val="21"/>
        </w:rPr>
        <w:t xml:space="preserve">Entrega de las credenciales de integración a JCS Emprende, o disponibilidad para configurarlas en conjunto en una sesión remota.</w:t>
      </w:r>
    </w:p>
    <w:p>
      <w:pPr>
        <w:pStyle w:val="ListParagraph"/>
        <w:numPr>
          <w:ilvl w:val="0"/>
          <w:numId w:val="2"/>
        </w:numPr>
        <w:spacing w:after="60" w:line="276"/>
      </w:pPr>
      <w:r>
        <w:rPr>
          <w:rFonts w:ascii="Calibri" w:cs="Calibri" w:eastAsia="Calibri" w:hAnsi="Calibri"/>
          <w:sz w:val="21"/>
          <w:szCs w:val="21"/>
        </w:rPr>
        <w:t xml:space="preserve">Definición de las políticas comerciales: si se aceptan meses sin intereses, qué plazo de acreditación se prefiere y si se habilita el pago en efectivo por OXXO.</w:t>
      </w:r>
    </w:p>
    <w:p>
      <w:pPr>
        <w:spacing w:after="60"/>
      </w:pPr>
    </w:p>
    <w:p>
      <w:pPr>
        <w:spacing w:after="120" w:before="0" w:line="276"/>
      </w:pPr>
      <w:r>
        <w:rPr>
          <w:rFonts w:ascii="Calibri" w:cs="Calibri" w:eastAsia="Calibri" w:hAnsi="Calibri"/>
          <w:b/>
          <w:bCs/>
          <w:color w:val="1F4E79"/>
          <w:sz w:val="21"/>
          <w:szCs w:val="21"/>
        </w:rPr>
        <w:t xml:space="preserve">Sugerencia práctica: </w:t>
      </w:r>
      <w:r>
        <w:rPr>
          <w:rFonts w:ascii="Calibri" w:cs="Calibri" w:eastAsia="Calibri" w:hAnsi="Calibri"/>
          <w:color w:val="000000"/>
          <w:sz w:val="21"/>
          <w:szCs w:val="21"/>
        </w:rPr>
        <w:t xml:space="preserve">arrancar con el flujo incluido (carrito → WhatsApp → enlace de pago manual de Mercado Pago) durante los primeros dos o tres meses. Es gratuito, permite medir cuántos clientes efectivamente pagan en línea y con qué método, y con esa información la decisión de integrar la pasarela se toma con datos reales y no con supuestos.</w:t>
      </w:r>
    </w:p>
    <w:p>
      <w:r>
        <w:br w:type="page"/>
      </w:r>
    </w:p>
    <w:p>
      <w:pPr>
        <w:pStyle w:val="Heading1"/>
        <w:pBdr>
          <w:bottom w:val="single" w:color="2E75B6" w:sz="8" w:space="4"/>
        </w:pBdr>
        <w:spacing w:after="160" w:before="320"/>
      </w:pPr>
      <w:r>
        <w:rPr>
          <w:rFonts w:ascii="Calibri" w:cs="Calibri" w:eastAsia="Calibri" w:hAnsi="Calibri"/>
          <w:b/>
          <w:bCs/>
          <w:color w:val="1F4E79"/>
          <w:sz w:val="28"/>
          <w:szCs w:val="28"/>
        </w:rPr>
        <w:t xml:space="preserve">9. Condiciones generales</w:t>
      </w:r>
    </w:p>
    <w:p>
      <w:pPr>
        <w:pStyle w:val="Heading2"/>
        <w:spacing w:after="100" w:before="240"/>
      </w:pPr>
      <w:r>
        <w:rPr>
          <w:rFonts w:ascii="Calibri" w:cs="Calibri" w:eastAsia="Calibri" w:hAnsi="Calibri"/>
          <w:b/>
          <w:bCs/>
          <w:color w:val="2E75B6"/>
          <w:sz w:val="23"/>
          <w:szCs w:val="23"/>
        </w:rPr>
        <w:t xml:space="preserve">9.1 Propiedad y datos</w:t>
      </w:r>
    </w:p>
    <w:p>
      <w:pPr>
        <w:pStyle w:val="ListParagraph"/>
        <w:numPr>
          <w:ilvl w:val="0"/>
          <w:numId w:val="2"/>
        </w:numPr>
        <w:spacing w:after="60" w:line="276"/>
      </w:pPr>
      <w:r>
        <w:rPr>
          <w:rFonts w:ascii="Calibri" w:cs="Calibri" w:eastAsia="Calibri" w:hAnsi="Calibri"/>
          <w:sz w:val="21"/>
          <w:szCs w:val="21"/>
        </w:rPr>
        <w:t xml:space="preserve">El código base estándar del sistema es propiedad intelectual de JCS Emprende. TotalVet recibe una licencia de uso indefinida sobre su propia instancia.</w:t>
      </w:r>
    </w:p>
    <w:p>
      <w:pPr>
        <w:pStyle w:val="ListParagraph"/>
        <w:numPr>
          <w:ilvl w:val="0"/>
          <w:numId w:val="2"/>
        </w:numPr>
        <w:spacing w:after="60" w:line="276"/>
      </w:pPr>
      <w:r>
        <w:rPr>
          <w:rFonts w:ascii="Calibri" w:cs="Calibri" w:eastAsia="Calibri" w:hAnsi="Calibri"/>
          <w:sz w:val="21"/>
          <w:szCs w:val="21"/>
        </w:rPr>
        <w:t xml:space="preserve">La totalidad de la información operativa y comercial cargada en el sistema es propiedad exclusiva de TotalVet, y puede exportarla en cualquier momento.</w:t>
      </w:r>
    </w:p>
    <w:p>
      <w:pPr>
        <w:pStyle w:val="ListParagraph"/>
        <w:numPr>
          <w:ilvl w:val="0"/>
          <w:numId w:val="2"/>
        </w:numPr>
        <w:spacing w:after="60" w:line="276"/>
      </w:pPr>
      <w:r>
        <w:rPr>
          <w:rFonts w:ascii="Calibri" w:cs="Calibri" w:eastAsia="Calibri" w:hAnsi="Calibri"/>
          <w:sz w:val="21"/>
          <w:szCs w:val="21"/>
        </w:rPr>
        <w:t xml:space="preserve">En la fase actual del programa, el archivo de datos y el repositorio de la aplicación se crean bajo las cuentas de JCS Emprende, y se comparte el acceso con TotalVet. Está prevista para una fase futura la variante en la que el archivo de datos quede alojado directamente en las cuentas del cliente.</w:t>
      </w:r>
    </w:p>
    <w:p>
      <w:pPr>
        <w:pStyle w:val="ListParagraph"/>
        <w:numPr>
          <w:ilvl w:val="0"/>
          <w:numId w:val="2"/>
        </w:numPr>
        <w:spacing w:after="60" w:line="276"/>
      </w:pPr>
      <w:r>
        <w:rPr>
          <w:rFonts w:ascii="Calibri" w:cs="Calibri" w:eastAsia="Calibri" w:hAnsi="Calibri"/>
          <w:sz w:val="21"/>
          <w:szCs w:val="21"/>
        </w:rPr>
        <w:t xml:space="preserve">JCS Emprende mantiene confidencialidad sobre toda la información de TotalVet a la que tenga acceso durante y después del proyecto.</w:t>
      </w:r>
    </w:p>
    <w:p>
      <w:pPr>
        <w:pStyle w:val="Heading2"/>
        <w:spacing w:after="100" w:before="240"/>
      </w:pPr>
      <w:r>
        <w:rPr>
          <w:rFonts w:ascii="Calibri" w:cs="Calibri" w:eastAsia="Calibri" w:hAnsi="Calibri"/>
          <w:b/>
          <w:bCs/>
          <w:color w:val="2E75B6"/>
          <w:sz w:val="23"/>
          <w:szCs w:val="23"/>
        </w:rPr>
        <w:t xml:space="preserve">9.2 Alcance y cambios</w:t>
      </w:r>
    </w:p>
    <w:p>
      <w:pPr>
        <w:pStyle w:val="ListParagraph"/>
        <w:numPr>
          <w:ilvl w:val="0"/>
          <w:numId w:val="2"/>
        </w:numPr>
        <w:spacing w:after="60" w:line="276"/>
      </w:pPr>
      <w:r>
        <w:rPr>
          <w:rFonts w:ascii="Calibri" w:cs="Calibri" w:eastAsia="Calibri" w:hAnsi="Calibri"/>
          <w:sz w:val="21"/>
          <w:szCs w:val="21"/>
        </w:rPr>
        <w:t xml:space="preserve">El alcance de este proyecto es el descrito en la sección 2. Toda funcionalidad no listada allí se considera fuera de alcance.</w:t>
      </w:r>
    </w:p>
    <w:p>
      <w:pPr>
        <w:pStyle w:val="ListParagraph"/>
        <w:numPr>
          <w:ilvl w:val="0"/>
          <w:numId w:val="2"/>
        </w:numPr>
        <w:spacing w:after="60" w:line="276"/>
      </w:pPr>
      <w:r>
        <w:rPr>
          <w:rFonts w:ascii="Calibri" w:cs="Calibri" w:eastAsia="Calibri" w:hAnsi="Calibri"/>
          <w:sz w:val="21"/>
          <w:szCs w:val="21"/>
        </w:rPr>
        <w:t xml:space="preserve">Las solicitudes de cambio que modifiquen el alcance acordado se cotizan por separado y pueden ajustar el cronograma. Ningún cambio se ejecuta sin aprobación previa de TotalVet.</w:t>
      </w:r>
    </w:p>
    <w:p>
      <w:pPr>
        <w:pStyle w:val="ListParagraph"/>
        <w:numPr>
          <w:ilvl w:val="0"/>
          <w:numId w:val="2"/>
        </w:numPr>
        <w:spacing w:after="60" w:line="276"/>
      </w:pPr>
      <w:r>
        <w:rPr>
          <w:rFonts w:ascii="Calibri" w:cs="Calibri" w:eastAsia="Calibri" w:hAnsi="Calibri"/>
          <w:sz w:val="21"/>
          <w:szCs w:val="21"/>
        </w:rPr>
        <w:t xml:space="preserve">Los siguientes puntos se definen en detalle durante la construcción, en conjunto con TotalVet: indicadores exactos del tablero de control por rol, estructura y filtros de los informes exportables, y el mecanismo preciso de acceso de los clientes al catálogo con precios diferenciados.</w:t>
      </w:r>
    </w:p>
    <w:p>
      <w:pPr>
        <w:pStyle w:val="Heading2"/>
        <w:spacing w:after="100" w:before="240"/>
      </w:pPr>
      <w:r>
        <w:rPr>
          <w:rFonts w:ascii="Calibri" w:cs="Calibri" w:eastAsia="Calibri" w:hAnsi="Calibri"/>
          <w:b/>
          <w:bCs/>
          <w:color w:val="2E75B6"/>
          <w:sz w:val="23"/>
          <w:szCs w:val="23"/>
        </w:rPr>
        <w:t xml:space="preserve">9.3 Aceptación</w:t>
      </w:r>
    </w:p>
    <w:p>
      <w:pPr>
        <w:pStyle w:val="ListParagraph"/>
        <w:numPr>
          <w:ilvl w:val="0"/>
          <w:numId w:val="2"/>
        </w:numPr>
        <w:spacing w:after="60" w:line="276"/>
      </w:pPr>
      <w:r>
        <w:rPr>
          <w:rFonts w:ascii="Calibri" w:cs="Calibri" w:eastAsia="Calibri" w:hAnsi="Calibri"/>
          <w:sz w:val="21"/>
          <w:szCs w:val="21"/>
        </w:rPr>
        <w:t xml:space="preserve">Al finalizar el desarrollo se ejecuta un período de pruebas de aceptación con el equipo de TotalVet.</w:t>
      </w:r>
    </w:p>
    <w:p>
      <w:pPr>
        <w:pStyle w:val="ListParagraph"/>
        <w:numPr>
          <w:ilvl w:val="0"/>
          <w:numId w:val="2"/>
        </w:numPr>
        <w:spacing w:after="60" w:line="276"/>
      </w:pPr>
      <w:r>
        <w:rPr>
          <w:rFonts w:ascii="Calibri" w:cs="Calibri" w:eastAsia="Calibri" w:hAnsi="Calibri"/>
          <w:sz w:val="21"/>
          <w:szCs w:val="21"/>
        </w:rPr>
        <w:t xml:space="preserve">La garantía de 90 días cubre la corrección sin costo de cualquier error de funcionamiento respecto de lo especificado en esta propuesta. No cubre cambios de alcance ni funcionalidades nuevas.</w:t>
      </w:r>
    </w:p>
    <w:p>
      <w:pPr>
        <w:pStyle w:val="ListParagraph"/>
        <w:numPr>
          <w:ilvl w:val="0"/>
          <w:numId w:val="2"/>
        </w:numPr>
        <w:spacing w:after="60" w:line="276"/>
      </w:pPr>
      <w:r>
        <w:rPr>
          <w:rFonts w:ascii="Calibri" w:cs="Calibri" w:eastAsia="Calibri" w:hAnsi="Calibri"/>
          <w:sz w:val="21"/>
          <w:szCs w:val="21"/>
        </w:rPr>
        <w:t xml:space="preserve">Esta propuesta tiene una vigencia de 30 días calendario. Los valores expresados en pesos colombianos no incluyen impuestos aplicables ni costos de transferencia internacional.</w:t>
      </w:r>
    </w:p>
    <w:p>
      <w:pPr>
        <w:pStyle w:val="Heading2"/>
        <w:spacing w:after="100" w:before="240"/>
      </w:pPr>
      <w:r>
        <w:rPr>
          <w:rFonts w:ascii="Calibri" w:cs="Calibri" w:eastAsia="Calibri" w:hAnsi="Calibri"/>
          <w:b/>
          <w:bCs/>
          <w:color w:val="2E75B6"/>
          <w:sz w:val="23"/>
          <w:szCs w:val="23"/>
        </w:rPr>
        <w:t xml:space="preserve">9.4 Resumen de valores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5860"/>
        <w:gridCol w:w="3500"/>
      </w:tblGrid>
      <w:tr>
        <w:trPr>
          <w:cantSplit/>
          <w:tblHeader/>
        </w:trPr>
        <w:tc>
          <w:tcPr>
            <w:tcW w:type="dxa" w:w="5860"/>
            <w:shd w:fill="1F4E79" w:color="auto" w:val="clear"/>
            <w:tcMar>
              <w:top w:type="dxa" w:w="80"/>
              <w:left w:type="dxa" w:w="110"/>
              <w:bottom w:type="dxa" w:w="80"/>
              <w:right w:type="dxa" w:w="110"/>
            </w:tcMar>
            <w:vAlign w:val="center"/>
          </w:tcPr>
          <w:p>
            <w:pPr>
              <w:spacing w:after="0" w:line="260"/>
            </w:pPr>
            <w:r>
              <w:rPr>
                <w:rFonts w:ascii="Calibri" w:cs="Calibri" w:eastAsia="Calibri" w:hAnsi="Calibri"/>
                <w:b/>
                <w:bCs/>
                <w:color w:val="FFFFFF"/>
                <w:sz w:val="20"/>
                <w:szCs w:val="20"/>
              </w:rPr>
              <w:t xml:space="preserve">Concepto</w:t>
            </w:r>
          </w:p>
        </w:tc>
        <w:tc>
          <w:tcPr>
            <w:tcW w:type="dxa" w:w="3500"/>
            <w:shd w:fill="1F4E79" w:color="auto" w:val="clear"/>
            <w:tcMar>
              <w:top w:type="dxa" w:w="80"/>
              <w:left w:type="dxa" w:w="110"/>
              <w:bottom w:type="dxa" w:w="80"/>
              <w:right w:type="dxa" w:w="110"/>
            </w:tcMar>
            <w:vAlign w:val="center"/>
          </w:tcPr>
          <w:p>
            <w:pPr>
              <w:spacing w:after="0" w:line="260"/>
              <w:jc w:val="right"/>
            </w:pPr>
            <w:r>
              <w:rPr>
                <w:rFonts w:ascii="Calibri" w:cs="Calibri" w:eastAsia="Calibri" w:hAnsi="Calibri"/>
                <w:b/>
                <w:bCs/>
                <w:color w:val="FFFFFF"/>
                <w:sz w:val="20"/>
                <w:szCs w:val="20"/>
              </w:rPr>
              <w:t xml:space="preserve">Valor (COP)</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Desarrollo del sistema ERP (con descuentos aplicados)</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000000"/>
                <w:sz w:val="20"/>
                <w:szCs w:val="20"/>
              </w:rPr>
              <w:t xml:space="preserve">$ 3.500.000</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Catálogo digital con carrito de compras</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000000"/>
                <w:sz w:val="20"/>
                <w:szCs w:val="20"/>
              </w:rPr>
              <w:t xml:space="preserve">$ 600.000</w:t>
            </w:r>
          </w:p>
        </w:tc>
      </w:tr>
      <w:tr>
        <w:trPr>
          <w:cantSplit/>
          <w:tblHeader w:val="false"/>
        </w:trPr>
        <w:tc>
          <w:tcPr>
            <w:tcW w:type="dxa" w:w="5860"/>
            <w:shd w:fill="F2F2F2" w:color="auto" w:val="clear"/>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Inversión total del proyecto</w:t>
            </w:r>
          </w:p>
        </w:tc>
        <w:tc>
          <w:tcPr>
            <w:tcW w:type="dxa" w:w="3500"/>
            <w:shd w:fill="F2F2F2" w:color="auto" w:val="clear"/>
            <w:tcMar>
              <w:top w:type="dxa" w:w="80"/>
              <w:left w:type="dxa" w:w="110"/>
              <w:bottom w:type="dxa" w:w="80"/>
              <w:right w:type="dxa" w:w="110"/>
            </w:tcMar>
            <w:vAlign w:val="center"/>
          </w:tcPr>
          <w:p>
            <w:pPr>
              <w:spacing w:after="0" w:line="260"/>
              <w:jc w:val="right"/>
            </w:pPr>
            <w:r>
              <w:rPr>
                <w:rFonts w:ascii="Calibri" w:cs="Calibri" w:eastAsia="Calibri" w:hAnsi="Calibri"/>
                <w:b/>
                <w:bCs/>
                <w:color w:val="000000"/>
                <w:sz w:val="20"/>
                <w:szCs w:val="20"/>
              </w:rPr>
              <w:t xml:space="preserve">$ 4.100.000</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Sostenimiento anual — Plan Estándar recomendado (desde el mes 4)</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000000"/>
                <w:sz w:val="20"/>
                <w:szCs w:val="20"/>
              </w:rPr>
              <w:t xml:space="preserve">$ 1.200.000 / año</w:t>
            </w:r>
          </w:p>
        </w:tc>
      </w:tr>
      <w:tr>
        <w:trPr>
          <w:cantSplit/>
          <w:tblHeader w:val="false"/>
        </w:trPr>
        <w:tc>
          <w:tcPr>
            <w:tcW w:type="dxa" w:w="586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Integración con pasarela de pago (opcional)</w:t>
            </w:r>
          </w:p>
        </w:tc>
        <w:tc>
          <w:tcPr>
            <w:tcW w:type="dxa" w:w="3500"/>
            <w:tcMar>
              <w:top w:type="dxa" w:w="80"/>
              <w:left w:type="dxa" w:w="110"/>
              <w:bottom w:type="dxa" w:w="80"/>
              <w:right w:type="dxa" w:w="110"/>
            </w:tcMar>
            <w:vAlign w:val="center"/>
          </w:tcPr>
          <w:p>
            <w:pPr>
              <w:spacing w:after="0" w:line="260"/>
              <w:jc w:val="right"/>
            </w:pPr>
            <w:r>
              <w:rPr>
                <w:rFonts w:ascii="Calibri" w:cs="Calibri" w:eastAsia="Calibri" w:hAnsi="Calibri"/>
                <w:b w:val="false"/>
                <w:bCs w:val="false"/>
                <w:color w:val="000000"/>
                <w:sz w:val="20"/>
                <w:szCs w:val="20"/>
              </w:rPr>
              <w:t xml:space="preserve">$ 800.000</w:t>
            </w:r>
          </w:p>
        </w:tc>
      </w:tr>
    </w:tbl>
    <w:p>
      <w:pPr>
        <w:spacing w:after="240"/>
      </w:pPr>
    </w:p>
    <w:p>
      <w:pPr>
        <w:pStyle w:val="Heading2"/>
        <w:spacing w:after="100" w:before="240"/>
      </w:pPr>
      <w:r>
        <w:rPr>
          <w:rFonts w:ascii="Calibri" w:cs="Calibri" w:eastAsia="Calibri" w:hAnsi="Calibri"/>
          <w:b/>
          <w:bCs/>
          <w:color w:val="2E75B6"/>
          <w:sz w:val="23"/>
          <w:szCs w:val="23"/>
        </w:rPr>
        <w:t xml:space="preserve">Aceptación de la propuesta</w:t>
      </w:r>
    </w:p>
    <w:p>
      <w:pPr>
        <w:spacing w:after="120" w:before="0" w:line="276"/>
      </w:pPr>
      <w:r>
        <w:rPr>
          <w:rFonts w:ascii="Calibri" w:cs="Calibri" w:eastAsia="Calibri" w:hAnsi="Calibri"/>
          <w:color w:val="000000"/>
          <w:sz w:val="21"/>
          <w:szCs w:val="21"/>
        </w:rPr>
        <w:t xml:space="preserve">La aceptación de esta propuesta se formaliza con la firma del presente documento y la confirmación del pago del anticipo correspondiente al 50%.</w:t>
      </w:r>
    </w:p>
    <w:p>
      <w:pPr>
        <w:spacing w:after="3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_______________________________</w:t>
            </w:r>
          </w:p>
        </w:tc>
        <w:tc>
          <w:tcPr>
            <w:tcW w:type="dxa" w:w="4680"/>
            <w:tcMar>
              <w:top w:type="dxa" w:w="80"/>
              <w:left w:type="dxa" w:w="110"/>
              <w:bottom w:type="dxa" w:w="80"/>
              <w:right w:type="dxa" w:w="110"/>
            </w:tcMar>
            <w:vAlign w:val="center"/>
          </w:tcPr>
          <w:p>
            <w:pPr>
              <w:spacing w:after="0" w:line="260"/>
            </w:pPr>
            <w:r>
              <w:rPr>
                <w:rFonts w:ascii="Calibri" w:cs="Calibri" w:eastAsia="Calibri" w:hAnsi="Calibri"/>
                <w:b w:val="false"/>
                <w:bCs w:val="false"/>
                <w:color w:val="000000"/>
                <w:sz w:val="20"/>
                <w:szCs w:val="20"/>
              </w:rPr>
              <w:t xml:space="preserve">_______________________________</w:t>
            </w:r>
          </w:p>
        </w:tc>
      </w:tr>
      <w:tr>
        <w:trPr>
          <w:cantSplit/>
        </w:trPr>
        <w:tc>
          <w:tcPr>
            <w:tcW w:type="dxa" w:w="468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Vanessa Herrera</w:t>
            </w:r>
          </w:p>
        </w:tc>
        <w:tc>
          <w:tcPr>
            <w:tcW w:type="dxa" w:w="4680"/>
            <w:tcMar>
              <w:top w:type="dxa" w:w="80"/>
              <w:left w:type="dxa" w:w="110"/>
              <w:bottom w:type="dxa" w:w="80"/>
              <w:right w:type="dxa" w:w="110"/>
            </w:tcMar>
            <w:vAlign w:val="center"/>
          </w:tcPr>
          <w:p>
            <w:pPr>
              <w:spacing w:after="0" w:line="260"/>
            </w:pPr>
            <w:r>
              <w:rPr>
                <w:rFonts w:ascii="Calibri" w:cs="Calibri" w:eastAsia="Calibri" w:hAnsi="Calibri"/>
                <w:b/>
                <w:bCs/>
                <w:color w:val="000000"/>
                <w:sz w:val="20"/>
                <w:szCs w:val="20"/>
              </w:rPr>
              <w:t xml:space="preserve">JCS Emprende</w:t>
            </w:r>
          </w:p>
        </w:tc>
      </w:tr>
      <w:tr>
        <w:trPr>
          <w:cantSplit/>
        </w:trPr>
        <w:tc>
          <w:tcPr>
            <w:tcW w:type="dxa" w:w="4680"/>
            <w:tcMar>
              <w:top w:type="dxa" w:w="80"/>
              <w:left w:type="dxa" w:w="110"/>
              <w:bottom w:type="dxa" w:w="80"/>
              <w:right w:type="dxa" w:w="110"/>
            </w:tcMar>
            <w:vAlign w:val="center"/>
          </w:tcPr>
          <w:p>
            <w:pPr>
              <w:spacing w:after="0" w:line="260"/>
            </w:pPr>
            <w:r>
              <w:rPr>
                <w:rFonts w:ascii="Calibri" w:cs="Calibri" w:eastAsia="Calibri" w:hAnsi="Calibri"/>
                <w:color w:val="000000"/>
                <w:sz w:val="20"/>
                <w:szCs w:val="20"/>
              </w:rPr>
              <w:t xml:space="preserve">TotalVet</w:t>
            </w:r>
          </w:p>
        </w:tc>
        <w:tc>
          <w:tcPr>
            <w:tcW w:type="dxa" w:w="4680"/>
            <w:tcMar>
              <w:top w:type="dxa" w:w="80"/>
              <w:left w:type="dxa" w:w="110"/>
              <w:bottom w:type="dxa" w:w="80"/>
              <w:right w:type="dxa" w:w="110"/>
            </w:tcMar>
            <w:vAlign w:val="center"/>
          </w:tcPr>
          <w:p>
            <w:pPr>
              <w:spacing w:after="0" w:line="260"/>
            </w:pPr>
            <w:r>
              <w:rPr>
                <w:rFonts w:ascii="Calibri" w:cs="Calibri" w:eastAsia="Calibri" w:hAnsi="Calibri"/>
                <w:color w:val="000000"/>
                <w:sz w:val="20"/>
                <w:szCs w:val="20"/>
              </w:rPr>
              <w:t xml:space="preserve">Representante</w:t>
            </w:r>
          </w:p>
        </w:tc>
      </w:tr>
      <w:tr>
        <w:trPr>
          <w:cantSplit/>
        </w:trPr>
        <w:tc>
          <w:tcPr>
            <w:tcW w:type="dxa" w:w="4680"/>
            <w:tcMar>
              <w:top w:type="dxa" w:w="80"/>
              <w:left w:type="dxa" w:w="110"/>
              <w:bottom w:type="dxa" w:w="80"/>
              <w:right w:type="dxa" w:w="110"/>
            </w:tcMar>
            <w:vAlign w:val="center"/>
          </w:tcPr>
          <w:p>
            <w:pPr>
              <w:spacing w:after="0" w:line="260"/>
            </w:pPr>
            <w:r>
              <w:rPr>
                <w:rFonts w:ascii="Calibri" w:cs="Calibri" w:eastAsia="Calibri" w:hAnsi="Calibri"/>
                <w:color w:val="000000"/>
                <w:sz w:val="20"/>
                <w:szCs w:val="20"/>
              </w:rPr>
              <w:t xml:space="preserve">Fecha: ____________________</w:t>
            </w:r>
          </w:p>
        </w:tc>
        <w:tc>
          <w:tcPr>
            <w:tcW w:type="dxa" w:w="4680"/>
            <w:tcMar>
              <w:top w:type="dxa" w:w="80"/>
              <w:left w:type="dxa" w:w="110"/>
              <w:bottom w:type="dxa" w:w="80"/>
              <w:right w:type="dxa" w:w="110"/>
            </w:tcMar>
            <w:vAlign w:val="center"/>
          </w:tcPr>
          <w:p>
            <w:pPr>
              <w:spacing w:after="0" w:line="260"/>
            </w:pPr>
            <w:r>
              <w:rPr>
                <w:rFonts w:ascii="Calibri" w:cs="Calibri" w:eastAsia="Calibri" w:hAnsi="Calibri"/>
                <w:color w:val="000000"/>
                <w:sz w:val="20"/>
                <w:szCs w:val="20"/>
              </w:rPr>
              <w:t xml:space="preserve">Fecha: ____________________</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0"/>
      <w:jc w:val="right"/>
    </w:pPr>
    <w:r>
      <w:rPr>
        <w:rFonts w:ascii="Calibri" w:cs="Calibri" w:eastAsia="Calibri" w:hAnsi="Calibri"/>
        <w:color w:val="808080"/>
        <w:sz w:val="16"/>
        <w:szCs w:val="16"/>
      </w:rPr>
      <w:t xml:space="preserve">JCS Emprende  ·  Propuesta para TotalVet  ·  Agosto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 Sistema ERP y Catálogo Digital — TotalVet</dc:title>
  <dc:creator>JCS Emprende</dc:creator>
  <dc:description>Propuesta de desarrollo de sistema de gestión empresarial y catálogo digital para TotalVet</dc:description>
  <cp:lastModifiedBy>Un-named</cp:lastModifiedBy>
  <cp:revision>1</cp:revision>
  <dcterms:created xsi:type="dcterms:W3CDTF">2026-08-19T14:04:06.646Z</dcterms:created>
  <dcterms:modified xsi:type="dcterms:W3CDTF">2026-08-19T14:04:06.647Z</dcterms:modified>
</cp:coreProperties>
</file>

<file path=docProps/custom.xml><?xml version="1.0" encoding="utf-8"?>
<Properties xmlns="http://schemas.openxmlformats.org/officeDocument/2006/custom-properties" xmlns:vt="http://schemas.openxmlformats.org/officeDocument/2006/docPropsVTypes"/>
</file>