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Formularios dinámicos: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sz w:val="21"/>
              <w:szCs w:val="21"/>
            </w:rPr>
          </w:pPr>
          <w:hyperlink w:anchor="_6av2cnuyuhr1">
            <w:r w:rsidDel="00000000" w:rsidR="00000000" w:rsidRPr="00000000">
              <w:rPr>
                <w:rFonts w:ascii="Verdana" w:cs="Verdana" w:eastAsia="Verdana" w:hAnsi="Verdana"/>
                <w:b w:val="1"/>
                <w:sz w:val="21"/>
                <w:szCs w:val="21"/>
                <w:rtl w:val="0"/>
              </w:rPr>
              <w:t xml:space="preserve">Bibliografía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_6av2cnuyuhr1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7">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8">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9">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A">
      <w:pPr>
        <w:pageBreakBefore w:val="0"/>
        <w:numPr>
          <w:ilvl w:val="0"/>
          <w:numId w:val="12"/>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B">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0">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1">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5">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A">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B">
      <w:pPr>
        <w:pageBreakBefore w:val="0"/>
        <w:ind w:left="0" w:firstLine="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50">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1">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w:t>
      </w:r>
      <w:r w:rsidDel="00000000" w:rsidR="00000000" w:rsidRPr="00000000">
        <w:rPr>
          <w:rtl w:val="0"/>
        </w:rPr>
        <w:t xml:space="preserve">(Rapid Application Development). Esto significa que con poco esfuerzo se pueden conseguir aplicaciones con altas prestaciones y seguras.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9">
      <w:pPr>
        <w:pageBreakBefore w:val="0"/>
        <w:numPr>
          <w:ilvl w:val="0"/>
          <w:numId w:val="1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(Object Relational Mapping) entre los objetos y la base de datos.</w:t>
      </w:r>
    </w:p>
    <w:p w:rsidR="00000000" w:rsidDel="00000000" w:rsidP="00000000" w:rsidRDefault="00000000" w:rsidRPr="00000000" w14:paraId="0000005A">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B">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C">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D">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“models.Model”. Esta herencia provoca que actúe el ORM y se mapean en la base de datos.</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63">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64">
      <w:pPr>
        <w:pageBreakBefore w:val="0"/>
        <w:ind w:firstLine="113"/>
        <w:rPr/>
      </w:pPr>
      <w:r w:rsidDel="00000000" w:rsidR="00000000" w:rsidRPr="00000000">
        <w:rPr>
          <w:rtl w:val="0"/>
        </w:rPr>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66">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7">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8">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9">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A">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B">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E">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F">
      <w:pPr>
        <w:pageBreakBefore w:val="0"/>
        <w:ind w:firstLine="113"/>
        <w:rPr/>
      </w:pPr>
      <w:r w:rsidDel="00000000" w:rsidR="00000000" w:rsidRPr="00000000">
        <w:rPr>
          <w:rtl w:val="0"/>
        </w:rPr>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En la base de datos, el punto se sustituye por una barra baja. </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74">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75">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C">
      <w:pPr>
        <w:pageBreakBefore w:val="0"/>
        <w:ind w:left="432"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82">
      <w:pPr>
        <w:pStyle w:val="Heading2"/>
        <w:numPr>
          <w:ilvl w:val="1"/>
          <w:numId w:val="1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83">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86">
      <w:pPr>
        <w:rPr/>
      </w:pPr>
      <w:r w:rsidDel="00000000" w:rsidR="00000000" w:rsidRPr="00000000">
        <w:rPr>
          <w:rtl w:val="0"/>
        </w:rPr>
        <w:t xml:space="preserve">Dentro de un módulo podemos encontrar:</w:t>
      </w:r>
    </w:p>
    <w:p w:rsidR="00000000" w:rsidDel="00000000" w:rsidP="00000000" w:rsidRDefault="00000000" w:rsidRPr="00000000" w14:paraId="00000087">
      <w:pPr>
        <w:numPr>
          <w:ilvl w:val="0"/>
          <w:numId w:val="23"/>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88">
      <w:pPr>
        <w:numPr>
          <w:ilvl w:val="0"/>
          <w:numId w:val="23"/>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89">
      <w:pPr>
        <w:numPr>
          <w:ilvl w:val="1"/>
          <w:numId w:val="23"/>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8A">
      <w:pPr>
        <w:numPr>
          <w:ilvl w:val="1"/>
          <w:numId w:val="23"/>
        </w:numPr>
        <w:ind w:left="1440" w:hanging="360"/>
      </w:pPr>
      <w:r w:rsidDel="00000000" w:rsidR="00000000" w:rsidRPr="00000000">
        <w:rPr>
          <w:rtl w:val="0"/>
        </w:rPr>
        <w:t xml:space="preserve">Datos de demo.</w:t>
      </w:r>
    </w:p>
    <w:p w:rsidR="00000000" w:rsidDel="00000000" w:rsidP="00000000" w:rsidRDefault="00000000" w:rsidRPr="00000000" w14:paraId="0000008B">
      <w:pPr>
        <w:numPr>
          <w:ilvl w:val="1"/>
          <w:numId w:val="23"/>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C">
      <w:pPr>
        <w:numPr>
          <w:ilvl w:val="0"/>
          <w:numId w:val="23"/>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D">
      <w:pPr>
        <w:numPr>
          <w:ilvl w:val="0"/>
          <w:numId w:val="23"/>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Los módulos se guardan en un directorio indicado en la opción “--addons-path” al lanzar el  servidor o en el fichero de configuración “odoo.conf”. Los módulos pueden estar en más de un directorio y dependen del tipo de instalación o la distribución o versión que se instale.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crear un módulo se puede hacer manualmente creado la carpeta, el manifest, los directorios y ficheros o utilizando una herramienta de línea de comandos llamada “odoo scaffold”. </w:t>
      </w:r>
    </w:p>
    <w:p w:rsidR="00000000" w:rsidDel="00000000" w:rsidP="00000000" w:rsidRDefault="00000000" w:rsidRPr="00000000" w14:paraId="00000092">
      <w:pPr>
        <w:pageBreakBefore w:val="0"/>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94">
      <w:pPr>
        <w:pageBreakBefore w:val="0"/>
        <w:ind w:left="432"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Una vez ejecutado este comando, tenemos en la ruta indicada, la estructura básica de directorios y ficheros con un poco de código de ejemplo. </w:t>
      </w:r>
    </w:p>
    <w:p w:rsidR="00000000" w:rsidDel="00000000" w:rsidP="00000000" w:rsidRDefault="00000000" w:rsidRPr="00000000" w14:paraId="00000096">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97">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98">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9B">
      <w:pPr>
        <w:numPr>
          <w:ilvl w:val="0"/>
          <w:numId w:val="22"/>
        </w:numPr>
        <w:ind w:left="720" w:hanging="360"/>
      </w:pPr>
      <w:r w:rsidDel="00000000" w:rsidR="00000000" w:rsidRPr="00000000">
        <w:rPr>
          <w:rtl w:val="0"/>
        </w:rPr>
        <w:t xml:space="preserve">Puede ser accedida como modelo, como “recordset” (conjunto de registros) o como “singleton” (un unico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C">
      <w:pPr>
        <w:numPr>
          <w:ilvl w:val="0"/>
          <w:numId w:val="22"/>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D">
      <w:pPr>
        <w:numPr>
          <w:ilvl w:val="1"/>
          <w:numId w:val="22"/>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E">
      <w:pPr>
        <w:numPr>
          <w:ilvl w:val="0"/>
          <w:numId w:val="22"/>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F">
      <w:pPr>
        <w:numPr>
          <w:ilvl w:val="0"/>
          <w:numId w:val="22"/>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A0">
      <w:pPr>
        <w:numPr>
          <w:ilvl w:val="0"/>
          <w:numId w:val="22"/>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A1">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“Amodel”, sino al modelo “a.model”.</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AB">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numPr>
          <w:ilvl w:val="1"/>
          <w:numId w:val="19"/>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F">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B2">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3">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4">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5">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6">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7">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B8">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B9">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BA">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Archivos binarios que guarda en base64. Pueden guardarse imágenes u otros elementos. Antes de Odoo 13 en este tipo de “fields” se guardaban las imágenes.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BE">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BF">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C0">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C3">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C4">
      <w:pPr>
        <w:pStyle w:val="Heading2"/>
        <w:numPr>
          <w:ilvl w:val="1"/>
          <w:numId w:val="19"/>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C5">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CA">
      <w:pPr>
        <w:rPr/>
      </w:pPr>
      <w:r w:rsidDel="00000000" w:rsidR="00000000" w:rsidRPr="00000000">
        <w:rPr>
          <w:rtl w:val="0"/>
        </w:rPr>
        <w:t xml:space="preserve">Para ello utilizaremos los “fields” relacionales de Odoo:</w:t>
      </w:r>
    </w:p>
    <w:p w:rsidR="00000000" w:rsidDel="00000000" w:rsidP="00000000" w:rsidRDefault="00000000" w:rsidRPr="00000000" w14:paraId="000000CB">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CC">
      <w:pPr>
        <w:numPr>
          <w:ilvl w:val="1"/>
          <w:numId w:val="11"/>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Atención:</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D3">
      <w:pPr>
        <w:numPr>
          <w:ilvl w:val="1"/>
          <w:numId w:val="20"/>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D4">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D9">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D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E0">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E1">
      <w:pPr>
        <w:numPr>
          <w:ilvl w:val="0"/>
          <w:numId w:val="16"/>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E2">
      <w:pPr>
        <w:numPr>
          <w:ilvl w:val="0"/>
          <w:numId w:val="16"/>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E3">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ind w:left="0" w:firstLine="0"/>
        <w:rPr/>
      </w:pP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E9">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EC">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ED">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E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F2">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F3">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FB">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Como se puede ver, están casi todos los tipos básicos de field. También podemos ver fields relacionales. Prestemos atención al Many2one ‘net’ de los PC que permite que funcione el On2many ‘pcs’ del modelo ‘networks.net’. También son interesantes los Many2many en los que declaramos el nombre de la relación para controlar el nombre de la tabla intermedia.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19"/>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101">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102">
      <w:pPr>
        <w:rPr/>
      </w:pPr>
      <w:r w:rsidDel="00000000" w:rsidR="00000000" w:rsidRPr="00000000">
        <w:rPr>
          <w:rtl w:val="0"/>
        </w:rPr>
        <w:t xml:space="preserve">Un “field computed” se define igual que uno normal, pero entre sus argumentos hay que indicar el nombre de la función que lo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04">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En caso de no querer guardar en la base de datos, pero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108">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Style w:val="Heading2"/>
        <w:numPr>
          <w:ilvl w:val="1"/>
          <w:numId w:val="19"/>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10B">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10C">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En el ejemplo anterior hay mucho que explicar:</w:t>
      </w:r>
    </w:p>
    <w:p w:rsidR="00000000" w:rsidDel="00000000" w:rsidP="00000000" w:rsidRDefault="00000000" w:rsidRPr="00000000" w14:paraId="00000111">
      <w:pPr>
        <w:numPr>
          <w:ilvl w:val="0"/>
          <w:numId w:val="25"/>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12">
      <w:pPr>
        <w:numPr>
          <w:ilvl w:val="0"/>
          <w:numId w:val="25"/>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13">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14">
      <w:pPr>
        <w:numPr>
          <w:ilvl w:val="0"/>
          <w:numId w:val="25"/>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15">
      <w:pPr>
        <w:numPr>
          <w:ilvl w:val="0"/>
          <w:numId w:val="25"/>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16">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usar y podrás ver más ejemplos.  </w:t>
      </w:r>
    </w:p>
    <w:p w:rsidR="00000000" w:rsidDel="00000000" w:rsidP="00000000" w:rsidRDefault="00000000" w:rsidRPr="00000000" w14:paraId="00000118">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Este efecto se puede ver de forma clara en la función lambda que calcula la hora. Si en vez de lo que hay en el ejemplo, pusiéramos directamente la función “fields.Date.today()”, pondría la fecha de reinicio del servidor y no la fecha de creación del registro. En cambio, al referenciar a una función lambda, esta se ejecuta cada vez que el programa entra en esa referencia. Al igual que al referenciar a una función normal con nombre. </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1D">
      <w:pPr>
        <w:pStyle w:val="Heading2"/>
        <w:numPr>
          <w:ilvl w:val="1"/>
          <w:numId w:val="19"/>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1E">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21">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6">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 la primera conexión con el navegador web, el servidor Odoo le proporciona un HTML mínimo, una SPA en Javascript y un CSS. Esto es un cliente web del servidor, es lo que se considera la vista. Pero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2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30">
      <w:pPr>
        <w:pageBreakBefore w:val="0"/>
        <w:numPr>
          <w:ilvl w:val="0"/>
          <w:numId w:val="14"/>
        </w:numPr>
        <w:spacing w:after="0" w:afterAutospacing="0"/>
        <w:ind w:left="720" w:hanging="360"/>
        <w:rPr>
          <w:u w:val="none"/>
        </w:rPr>
      </w:pPr>
      <w:r w:rsidDel="00000000" w:rsidR="00000000" w:rsidRPr="00000000">
        <w:rPr>
          <w:rtl w:val="0"/>
        </w:rPr>
        <w:t xml:space="preserve">Definciones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31">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2">
      <w:pPr>
        <w:pageBreakBefore w:val="0"/>
        <w:numPr>
          <w:ilvl w:val="0"/>
          <w:numId w:val="14"/>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33">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36">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39">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3A">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B">
      <w:pPr>
        <w:rPr/>
      </w:pPr>
      <w:r w:rsidDel="00000000" w:rsidR="00000000" w:rsidRPr="00000000">
        <w:rPr>
          <w:rtl w:val="0"/>
        </w:rPr>
        <w:t xml:space="preserve">La vista “tree” muestra una lista de “records” sobre un modelo. Veamos unejemplo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D">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w:t>
      </w:r>
    </w:p>
    <w:p w:rsidR="00000000" w:rsidDel="00000000" w:rsidP="00000000" w:rsidRDefault="00000000" w:rsidRPr="00000000" w14:paraId="0000013E">
      <w:pPr>
        <w:pageBreakBefore w:val="0"/>
        <w:rPr/>
      </w:pPr>
      <w:r w:rsidDel="00000000" w:rsidR="00000000" w:rsidRPr="00000000">
        <w:rPr>
          <w:rtl w:val="0"/>
        </w:rPr>
        <w:t xml:space="preserve">Dentro del “field arch” está la etiqueta </w:t>
      </w:r>
      <w:r w:rsidDel="00000000" w:rsidR="00000000" w:rsidRPr="00000000">
        <w:rPr>
          <w:b w:val="1"/>
          <w:rtl w:val="0"/>
        </w:rPr>
        <w:t xml:space="preserve">&lt;tree&gt;</w:t>
      </w:r>
      <w:r w:rsidDel="00000000" w:rsidR="00000000" w:rsidRPr="00000000">
        <w:rPr>
          <w:rtl w:val="0"/>
        </w:rPr>
        <w:t xml:space="preserve"> que indica que es una lista y dentro de esta etiqueta tenemos más “fields” que son los “fields” del modelo “prueba.student” que queremos que se vean. </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Style w:val="Heading3"/>
        <w:pageBreakBefore w:val="0"/>
        <w:rPr/>
      </w:pPr>
      <w:bookmarkStart w:colFirst="0" w:colLast="0" w:name="_g15i7aacv53b" w:id="14"/>
      <w:bookmarkEnd w:id="14"/>
      <w:r w:rsidDel="00000000" w:rsidR="00000000" w:rsidRPr="00000000">
        <w:rPr>
          <w:rtl w:val="0"/>
        </w:rPr>
        <w:t xml:space="preserve">Colores en las líneas: </w:t>
      </w:r>
    </w:p>
    <w:p w:rsidR="00000000" w:rsidDel="00000000" w:rsidP="00000000" w:rsidRDefault="00000000" w:rsidRPr="00000000" w14:paraId="00000143">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4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1">
      <w:pPr>
        <w:pStyle w:val="Heading3"/>
        <w:pageBreakBefore w:val="0"/>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52">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55">
      <w:pPr>
        <w:pStyle w:val="Heading3"/>
        <w:pageBreakBefore w:val="0"/>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56">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57">
      <w:pPr>
        <w:pStyle w:val="Heading3"/>
        <w:pageBreakBefore w:val="0"/>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58">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D">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E">
      <w:pPr>
        <w:pageBreakBefore w:val="0"/>
        <w:ind w:left="0" w:firstLine="0"/>
        <w:rPr/>
      </w:pPr>
      <w:r w:rsidDel="00000000" w:rsidR="00000000" w:rsidRPr="00000000">
        <w:rPr>
          <w:rtl w:val="0"/>
        </w:rPr>
        <w:t xml:space="preserve"> </w:t>
      </w:r>
    </w:p>
    <w:p w:rsidR="00000000" w:rsidDel="00000000" w:rsidP="00000000" w:rsidRDefault="00000000" w:rsidRPr="00000000" w14:paraId="000001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60">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61">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62">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63">
      <w:pPr>
        <w:pageBreakBefore w:val="0"/>
        <w:ind w:left="0" w:firstLine="0"/>
        <w:rPr>
          <w:b w:val="1"/>
        </w:rPr>
      </w:pPr>
      <w:r w:rsidDel="00000000" w:rsidR="00000000" w:rsidRPr="00000000">
        <w:rPr>
          <w:rtl w:val="0"/>
        </w:rPr>
        <w:t xml:space="preserve">Si hacemos varios “groups”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64">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65">
      <w:pPr>
        <w:pageBreakBefore w:val="0"/>
        <w:ind w:left="0" w:firstLine="0"/>
        <w:rPr/>
      </w:pPr>
      <w:r w:rsidDel="00000000" w:rsidR="00000000" w:rsidRPr="00000000">
        <w:rPr>
          <w:rtl w:val="0"/>
        </w:rPr>
      </w:r>
    </w:p>
    <w:p w:rsidR="00000000" w:rsidDel="00000000" w:rsidP="00000000" w:rsidRDefault="00000000" w:rsidRPr="00000000" w14:paraId="0000016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67">
      <w:pPr>
        <w:pageBreakBefore w:val="0"/>
        <w:ind w:left="0" w:firstLine="0"/>
        <w:rPr/>
      </w:pPr>
      <w:r w:rsidDel="00000000" w:rsidR="00000000" w:rsidRPr="00000000">
        <w:rPr>
          <w:rtl w:val="0"/>
        </w:rPr>
      </w:r>
    </w:p>
    <w:p w:rsidR="00000000" w:rsidDel="00000000" w:rsidP="00000000" w:rsidRDefault="00000000" w:rsidRPr="00000000" w14:paraId="00000168">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69">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6A">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6B">
      <w:pPr>
        <w:pageBreakBefore w:val="0"/>
        <w:numPr>
          <w:ilvl w:val="0"/>
          <w:numId w:val="9"/>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6C">
      <w:pPr>
        <w:pageBreakBefore w:val="0"/>
        <w:numPr>
          <w:ilvl w:val="0"/>
          <w:numId w:val="9"/>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D">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F">
      <w:pPr>
        <w:pStyle w:val="Heading3"/>
        <w:pageBreakBefore w:val="0"/>
        <w:rPr/>
      </w:pPr>
      <w:bookmarkStart w:colFirst="0" w:colLast="0" w:name="_h3uj0z8f8tjo" w:id="20"/>
      <w:bookmarkEnd w:id="20"/>
      <w:r w:rsidDel="00000000" w:rsidR="00000000" w:rsidRPr="00000000">
        <w:rPr>
          <w:rtl w:val="0"/>
        </w:rPr>
      </w:r>
    </w:p>
    <w:p w:rsidR="00000000" w:rsidDel="00000000" w:rsidP="00000000" w:rsidRDefault="00000000" w:rsidRPr="00000000" w14:paraId="00000170">
      <w:pPr>
        <w:pStyle w:val="Heading3"/>
        <w:pageBreakBefore w:val="0"/>
        <w:rPr/>
      </w:pPr>
      <w:bookmarkStart w:colFirst="0" w:colLast="0" w:name="_dk1xjlcm1at" w:id="21"/>
      <w:bookmarkEnd w:id="21"/>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pageBreakBefore w:val="0"/>
        <w:numPr>
          <w:ilvl w:val="2"/>
          <w:numId w:val="19"/>
        </w:numPr>
        <w:rPr>
          <w:u w:val="none"/>
        </w:rPr>
      </w:pPr>
      <w:bookmarkStart w:colFirst="0" w:colLast="0" w:name="_c7j3sj38voy9" w:id="22"/>
      <w:bookmarkEnd w:id="22"/>
      <w:r w:rsidDel="00000000" w:rsidR="00000000" w:rsidRPr="00000000">
        <w:rPr>
          <w:rtl w:val="0"/>
        </w:rPr>
        <w:t xml:space="preserve">Widgets:</w:t>
      </w:r>
    </w:p>
    <w:p w:rsidR="00000000" w:rsidDel="00000000" w:rsidP="00000000" w:rsidRDefault="00000000" w:rsidRPr="00000000" w14:paraId="00000172">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73">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“widget=’image’” las mostrará. </w:t>
      </w:r>
    </w:p>
    <w:p w:rsidR="00000000" w:rsidDel="00000000" w:rsidP="00000000" w:rsidRDefault="00000000" w:rsidRPr="00000000" w14:paraId="00000174">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75">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76">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77">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número aunque muestra el campo más ancho. Si está vacío muestra un hueco.</w:t>
      </w:r>
    </w:p>
    <w:p w:rsidR="00000000" w:rsidDel="00000000" w:rsidP="00000000" w:rsidRDefault="00000000" w:rsidRPr="00000000" w14:paraId="00000178">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9">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7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B">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D">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E">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7F">
      <w:pPr>
        <w:pageBreakBefore w:val="0"/>
        <w:rPr/>
      </w:pPr>
      <w:r w:rsidDel="00000000" w:rsidR="00000000" w:rsidRPr="00000000">
        <w:rPr>
          <w:rtl w:val="0"/>
        </w:rPr>
        <w:t xml:space="preserve">Para los booleanos, a partir de Odoo 13 se puede mostrar una cinta al lado del formulario con el “widget web_ribbon”.</w:t>
      </w:r>
    </w:p>
    <w:p w:rsidR="00000000" w:rsidDel="00000000" w:rsidP="00000000" w:rsidRDefault="00000000" w:rsidRPr="00000000" w14:paraId="00000180">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81">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solo si está seleccionado. </w:t>
      </w:r>
      <w:r w:rsidDel="00000000" w:rsidR="00000000" w:rsidRPr="00000000">
        <w:rPr/>
        <w:drawing>
          <wp:inline distB="114300" distT="114300" distL="114300" distR="114300">
            <wp:extent cx="1482566" cy="26758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como etiquetas. </w:t>
      </w:r>
    </w:p>
    <w:p w:rsidR="00000000" w:rsidDel="00000000" w:rsidP="00000000" w:rsidRDefault="00000000" w:rsidRPr="00000000" w14:paraId="00000183">
      <w:pPr>
        <w:pageBreakBefore w:val="0"/>
        <w:ind w:left="720" w:firstLine="0"/>
        <w:rPr/>
      </w:pPr>
      <w:r w:rsidDel="00000000" w:rsidR="00000000" w:rsidRPr="00000000">
        <w:rPr/>
        <w:drawing>
          <wp:inline distB="114300" distT="114300" distL="114300" distR="114300">
            <wp:extent cx="6192210" cy="2413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solo están si has instalado un determinado módulo, porque se hicieron a propósito para ese módulo, aunque los puedes aprovechar si lo pones como dependencia. </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Style w:val="Heading3"/>
        <w:pageBreakBefore w:val="0"/>
        <w:numPr>
          <w:ilvl w:val="2"/>
          <w:numId w:val="19"/>
        </w:numPr>
        <w:rPr>
          <w:u w:val="none"/>
        </w:rPr>
      </w:pPr>
      <w:bookmarkStart w:colFirst="0" w:colLast="0" w:name="_akuym8ylkzg" w:id="23"/>
      <w:bookmarkEnd w:id="23"/>
      <w:r w:rsidDel="00000000" w:rsidR="00000000" w:rsidRPr="00000000">
        <w:rPr>
          <w:rtl w:val="0"/>
        </w:rPr>
        <w:t xml:space="preserve">Valores por defecto en los One2many:</w:t>
      </w:r>
    </w:p>
    <w:p w:rsidR="00000000" w:rsidDel="00000000" w:rsidP="00000000" w:rsidRDefault="00000000" w:rsidRPr="00000000" w14:paraId="00000188">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89">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context="{'default_&lt;field many2one&gt;':active_id}". </w:t>
      </w:r>
    </w:p>
    <w:p w:rsidR="00000000" w:rsidDel="00000000" w:rsidP="00000000" w:rsidRDefault="00000000" w:rsidRPr="00000000" w14:paraId="0000018A">
      <w:pPr>
        <w:pageBreakBefore w:val="0"/>
        <w:ind w:left="0" w:firstLine="0"/>
        <w:rPr/>
      </w:pP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True}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Atención</w:t>
      </w:r>
      <w:r w:rsidDel="00000000" w:rsidR="00000000" w:rsidRPr="00000000">
        <w:rPr>
          <w:rFonts w:ascii="Arimo" w:cs="Arimo" w:eastAsia="Arimo" w:hAnsi="Arimo"/>
          <w:sz w:val="20"/>
          <w:szCs w:val="20"/>
          <w:rtl w:val="0"/>
        </w:rPr>
        <w:t xml:space="preserve">: el concepto de context</w:t>
      </w:r>
      <w:r w:rsidDel="00000000" w:rsidR="00000000" w:rsidRPr="00000000">
        <w:rPr>
          <w:rtl w:val="0"/>
        </w:rPr>
        <w:t xml:space="preserve">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“id” del registro que está activo en ese formulario. </w:t>
      </w:r>
    </w:p>
    <w:p w:rsidR="00000000" w:rsidDel="00000000" w:rsidP="00000000" w:rsidRDefault="00000000" w:rsidRPr="00000000" w14:paraId="00000190">
      <w:pPr>
        <w:pageBreakBefore w:val="0"/>
        <w:ind w:left="0" w:firstLine="0"/>
        <w:rPr/>
      </w:pPr>
      <w:r w:rsidDel="00000000" w:rsidR="00000000" w:rsidRPr="00000000">
        <w:rPr>
          <w:rtl w:val="0"/>
        </w:rPr>
      </w:r>
    </w:p>
    <w:p w:rsidR="00000000" w:rsidDel="00000000" w:rsidP="00000000" w:rsidRDefault="00000000" w:rsidRPr="00000000" w14:paraId="00000191">
      <w:pPr>
        <w:pStyle w:val="Heading3"/>
        <w:pageBreakBefore w:val="0"/>
        <w:numPr>
          <w:ilvl w:val="2"/>
          <w:numId w:val="19"/>
        </w:numPr>
        <w:rPr>
          <w:u w:val="none"/>
        </w:rPr>
      </w:pPr>
      <w:bookmarkStart w:colFirst="0" w:colLast="0" w:name="_herq84u9vj5r" w:id="24"/>
      <w:bookmarkEnd w:id="24"/>
      <w:r w:rsidDel="00000000" w:rsidR="00000000" w:rsidRPr="00000000">
        <w:rPr>
          <w:rtl w:val="0"/>
        </w:rPr>
        <w:t xml:space="preserve">Domains en los Many2one:</w:t>
      </w:r>
    </w:p>
    <w:p w:rsidR="00000000" w:rsidDel="00000000" w:rsidP="00000000" w:rsidRDefault="00000000" w:rsidRPr="00000000" w14:paraId="00000192">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&lt;field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"hotel"</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domain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"[('ishotel', '=', True)]"</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Style w:val="Heading3"/>
        <w:pageBreakBefore w:val="0"/>
        <w:numPr>
          <w:ilvl w:val="2"/>
          <w:numId w:val="19"/>
        </w:numPr>
        <w:rPr>
          <w:u w:val="none"/>
        </w:rPr>
      </w:pPr>
      <w:bookmarkStart w:colFirst="0" w:colLast="0" w:name="_g8zpixqfbwed" w:id="25"/>
      <w:bookmarkEnd w:id="25"/>
      <w:r w:rsidDel="00000000" w:rsidR="00000000" w:rsidRPr="00000000">
        <w:rPr>
          <w:rtl w:val="0"/>
        </w:rPr>
        <w:t xml:space="preserve">Formularios dinámicos:</w:t>
      </w:r>
    </w:p>
    <w:p w:rsidR="00000000" w:rsidDel="00000000" w:rsidP="00000000" w:rsidRDefault="00000000" w:rsidRPr="00000000" w14:paraId="00000196">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97">
      <w:pPr>
        <w:pageBreakBefore w:val="0"/>
        <w:rPr/>
      </w:pPr>
      <w:r w:rsidDel="00000000" w:rsidR="00000000" w:rsidRPr="00000000">
        <w:rPr>
          <w:rtl w:val="0"/>
        </w:rPr>
        <w:t xml:space="preserve">Se puede </w:t>
      </w:r>
      <w:r w:rsidDel="00000000" w:rsidR="00000000" w:rsidRPr="00000000">
        <w:rPr>
          <w:b w:val="1"/>
          <w:rtl w:val="0"/>
        </w:rPr>
        <w:t xml:space="preserve">ocultar condicionalmente </w:t>
      </w:r>
      <w:r w:rsidDel="00000000" w:rsidR="00000000" w:rsidRPr="00000000">
        <w:rPr>
          <w:rtl w:val="0"/>
        </w:rPr>
        <w:t xml:space="preserve">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9">
      <w:pPr>
        <w:pageBreakBefore w:val="0"/>
        <w:ind w:left="0" w:firstLine="0"/>
        <w:rPr/>
      </w:pPr>
      <w:r w:rsidDel="00000000" w:rsidR="00000000" w:rsidRPr="00000000">
        <w:rPr>
          <w:rtl w:val="0"/>
        </w:rPr>
        <w:t xml:space="preserve">Se puede </w:t>
      </w:r>
      <w:r w:rsidDel="00000000" w:rsidR="00000000" w:rsidRPr="00000000">
        <w:rPr>
          <w:b w:val="1"/>
          <w:rtl w:val="0"/>
        </w:rPr>
        <w:t xml:space="preserve">mostrar u ocultar en modo edición o lectura</w:t>
      </w:r>
      <w:r w:rsidDel="00000000" w:rsidR="00000000" w:rsidRPr="00000000">
        <w:rPr>
          <w:rtl w:val="0"/>
        </w:rPr>
        <w:t xml:space="preserve">:</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B">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ind w:left="0" w:firstLine="0"/>
        <w:rPr/>
      </w:pPr>
      <w:r w:rsidDel="00000000" w:rsidR="00000000" w:rsidRPr="00000000">
        <w:rPr>
          <w:rtl w:val="0"/>
        </w:rPr>
        <w:t xml:space="preserve">También existe está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A2">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4">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3"/>
        <w:pageBreakBefore w:val="0"/>
        <w:numPr>
          <w:ilvl w:val="2"/>
          <w:numId w:val="19"/>
        </w:numPr>
        <w:rPr>
          <w:u w:val="none"/>
        </w:rPr>
      </w:pPr>
      <w:bookmarkStart w:colFirst="0" w:colLast="0" w:name="_rtqvlqkx7nlr" w:id="26"/>
      <w:bookmarkEnd w:id="26"/>
      <w:r w:rsidDel="00000000" w:rsidR="00000000" w:rsidRPr="00000000">
        <w:rPr>
          <w:rtl w:val="0"/>
        </w:rPr>
        <w:t xml:space="preserve">Asistentes</w:t>
      </w:r>
    </w:p>
    <w:p w:rsidR="00000000" w:rsidDel="00000000" w:rsidP="00000000" w:rsidRDefault="00000000" w:rsidRPr="00000000" w14:paraId="000001A8">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“statusbar”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A">
      <w:pPr>
        <w:pStyle w:val="Heading2"/>
        <w:numPr>
          <w:ilvl w:val="1"/>
          <w:numId w:val="19"/>
        </w:numPr>
        <w:ind w:left="576"/>
        <w:rPr/>
      </w:pPr>
      <w:bookmarkStart w:colFirst="0" w:colLast="0" w:name="_hr7jttygd8q5" w:id="27"/>
      <w:bookmarkEnd w:id="27"/>
      <w:r w:rsidDel="00000000" w:rsidR="00000000" w:rsidRPr="00000000">
        <w:rPr>
          <w:rtl w:val="0"/>
        </w:rPr>
        <w:t xml:space="preserve">Vista Kanban</w:t>
      </w:r>
    </w:p>
    <w:p w:rsidR="00000000" w:rsidDel="00000000" w:rsidP="00000000" w:rsidRDefault="00000000" w:rsidRPr="00000000" w14:paraId="000001AB">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AC">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t xml:space="preserve">Veamos un ejemplo mínimo de “Kanban” donde describiremos posteriormente para qué sirven las etiquetas y atributos.</w:t>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Style w:val="Heading2"/>
        <w:numPr>
          <w:ilvl w:val="1"/>
          <w:numId w:val="19"/>
        </w:numPr>
        <w:ind w:left="576"/>
        <w:rPr/>
      </w:pPr>
      <w:bookmarkStart w:colFirst="0" w:colLast="0" w:name="_mse4nrae9fqe" w:id="28"/>
      <w:bookmarkEnd w:id="28"/>
      <w:r w:rsidDel="00000000" w:rsidR="00000000" w:rsidRPr="00000000">
        <w:rPr>
          <w:rtl w:val="0"/>
        </w:rPr>
        <w:t xml:space="preserve">Vista Calendar</w:t>
      </w:r>
    </w:p>
    <w:p w:rsidR="00000000" w:rsidDel="00000000" w:rsidP="00000000" w:rsidRDefault="00000000" w:rsidRPr="00000000" w14:paraId="000001BB">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D">
      <w:pPr>
        <w:pageBreakBefore w:val="0"/>
        <w:rPr>
          <w:b w:val="1"/>
        </w:rPr>
      </w:pPr>
      <w:r w:rsidDel="00000000" w:rsidR="00000000" w:rsidRPr="00000000">
        <w:rPr>
          <w:rtl w:val="0"/>
        </w:rPr>
        <w:t xml:space="preserve">Por defecto el “delay”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BE">
      <w:pPr>
        <w:pStyle w:val="Heading2"/>
        <w:numPr>
          <w:ilvl w:val="1"/>
          <w:numId w:val="19"/>
        </w:numPr>
        <w:ind w:left="576"/>
        <w:rPr/>
      </w:pPr>
      <w:bookmarkStart w:colFirst="0" w:colLast="0" w:name="_7bybvwbln8gu" w:id="29"/>
      <w:bookmarkEnd w:id="29"/>
      <w:r w:rsidDel="00000000" w:rsidR="00000000" w:rsidRPr="00000000">
        <w:rPr>
          <w:rtl w:val="0"/>
        </w:rPr>
        <w:t xml:space="preserve">Vista Graph</w:t>
      </w:r>
    </w:p>
    <w:p w:rsidR="00000000" w:rsidDel="00000000" w:rsidP="00000000" w:rsidRDefault="00000000" w:rsidRPr="00000000" w14:paraId="000001BF">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“bar” o “line” y se comporta agregando los valores que ha de mostrar.  </w:t>
      </w:r>
    </w:p>
    <w:p w:rsidR="00000000" w:rsidDel="00000000" w:rsidP="00000000" w:rsidRDefault="00000000" w:rsidRPr="00000000" w14:paraId="000001C0">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la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C2">
      <w:pPr>
        <w:pageBreakBefore w:val="0"/>
        <w:ind w:left="0" w:firstLine="0"/>
        <w:rPr/>
      </w:pPr>
      <w:r w:rsidDel="00000000" w:rsidR="00000000" w:rsidRPr="00000000">
        <w:rPr>
          <w:rtl w:val="0"/>
        </w:rPr>
      </w:r>
    </w:p>
    <w:p w:rsidR="00000000" w:rsidDel="00000000" w:rsidP="00000000" w:rsidRDefault="00000000" w:rsidRPr="00000000" w14:paraId="000001C3">
      <w:pPr>
        <w:pStyle w:val="Heading2"/>
        <w:numPr>
          <w:ilvl w:val="1"/>
          <w:numId w:val="19"/>
        </w:numPr>
        <w:ind w:left="576"/>
        <w:rPr/>
      </w:pPr>
      <w:bookmarkStart w:colFirst="0" w:colLast="0" w:name="_uwhnxn222xcr" w:id="30"/>
      <w:bookmarkEnd w:id="30"/>
      <w:r w:rsidDel="00000000" w:rsidR="00000000" w:rsidRPr="00000000">
        <w:rPr>
          <w:rtl w:val="0"/>
        </w:rPr>
        <w:t xml:space="preserve">Vista Search</w:t>
      </w:r>
    </w:p>
    <w:p w:rsidR="00000000" w:rsidDel="00000000" w:rsidP="00000000" w:rsidRDefault="00000000" w:rsidRPr="00000000" w14:paraId="000001C4">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C5">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7">
      <w:pPr>
        <w:pageBreakBefore w:val="0"/>
        <w:ind w:left="0" w:firstLine="0"/>
        <w:rPr/>
      </w:pPr>
      <w:r w:rsidDel="00000000" w:rsidR="00000000" w:rsidRPr="00000000">
        <w:rPr>
          <w:rtl w:val="0"/>
        </w:rPr>
      </w:r>
    </w:p>
    <w:p w:rsidR="00000000" w:rsidDel="00000000" w:rsidP="00000000" w:rsidRDefault="00000000" w:rsidRPr="00000000" w14:paraId="000001C8">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C9">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CA">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CB">
      <w:pPr>
        <w:pStyle w:val="Heading1"/>
        <w:pageBreakBefore w:val="0"/>
        <w:numPr>
          <w:ilvl w:val="0"/>
          <w:numId w:val="19"/>
        </w:numPr>
        <w:ind w:left="432" w:right="0"/>
        <w:rPr/>
      </w:pPr>
      <w:bookmarkStart w:colFirst="0" w:colLast="0" w:name="_52hibfi4gv7g" w:id="31"/>
      <w:bookmarkEnd w:id="31"/>
      <w:r w:rsidDel="00000000" w:rsidR="00000000" w:rsidRPr="00000000">
        <w:rPr>
          <w:rtl w:val="0"/>
        </w:rPr>
        <w:t xml:space="preserve">Módulos de ejemplo con comentarios</w:t>
      </w:r>
    </w:p>
    <w:p w:rsidR="00000000" w:rsidDel="00000000" w:rsidP="00000000" w:rsidRDefault="00000000" w:rsidRPr="00000000" w14:paraId="000001CC">
      <w:pPr>
        <w:rPr/>
      </w:pPr>
      <w:r w:rsidDel="00000000" w:rsidR="00000000" w:rsidRPr="00000000">
        <w:rPr>
          <w:rtl w:val="0"/>
        </w:rPr>
        <w:t xml:space="preserve">Se pueden encontrar ejemplos de módulos de Odoo comentados con los conceptos tratados durante la unidad en </w:t>
      </w:r>
      <w:hyperlink r:id="rId20">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D">
      <w:pPr>
        <w:pStyle w:val="Heading1"/>
        <w:pageBreakBefore w:val="0"/>
        <w:numPr>
          <w:ilvl w:val="0"/>
          <w:numId w:val="19"/>
        </w:numPr>
        <w:ind w:left="432" w:right="0"/>
        <w:rPr/>
      </w:pPr>
      <w:bookmarkStart w:colFirst="0" w:colLast="0" w:name="_6av2cnuyuhr1" w:id="32"/>
      <w:bookmarkEnd w:id="3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CE">
      <w:pPr>
        <w:pageBreakBefore w:val="0"/>
        <w:ind w:left="432" w:firstLine="0"/>
        <w:rPr/>
      </w:pPr>
      <w:hyperlink r:id="rId21">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CF">
      <w:pPr>
        <w:pageBreakBefore w:val="0"/>
        <w:ind w:left="432" w:firstLine="0"/>
        <w:rPr/>
      </w:pPr>
      <w:hyperlink r:id="rId22">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D0">
      <w:pPr>
        <w:pageBreakBefore w:val="0"/>
        <w:ind w:left="432" w:firstLine="0"/>
        <w:rPr/>
      </w:pPr>
      <w:hyperlink r:id="rId23">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D1">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Autores (en orden alfabético)</w:t>
      </w:r>
    </w:p>
    <w:p w:rsidR="00000000" w:rsidDel="00000000" w:rsidP="00000000" w:rsidRDefault="00000000" w:rsidRPr="00000000" w14:paraId="000001D2">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D3">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D4">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garb1/OdooModulosEjemplos" TargetMode="External"/><Relationship Id="rId22" Type="http://schemas.openxmlformats.org/officeDocument/2006/relationships/hyperlink" Target="https://ioc.xtec.cat/materials/FP/Materials/2252_DAM/DAM_2252_M10/web/html/index.html" TargetMode="External"/><Relationship Id="rId21" Type="http://schemas.openxmlformats.org/officeDocument/2006/relationships/hyperlink" Target="https://www.odoo.com/documentation/master/" TargetMode="External"/><Relationship Id="rId24" Type="http://schemas.openxmlformats.org/officeDocument/2006/relationships/header" Target="header1.xml"/><Relationship Id="rId23" Type="http://schemas.openxmlformats.org/officeDocument/2006/relationships/hyperlink" Target="https://castilloinformatica.es/wiki/index.php?title=Od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