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2024</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La base de datos de Odoo</w:t>
              <w:tab/>
              <w:t xml:space="preserve">6</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Composición de un módulo</w:t>
              <w:tab/>
              <w:t xml:space="preserve">7</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3.1  Composición de un módulo</w:t>
              <w:tab/>
              <w:t xml:space="preserve">7</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Modelos</w:t>
              <w:tab/>
              <w:t xml:space="preserve">8</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4.1  Introducción a los modelos en Odoo</w:t>
              <w:tab/>
              <w:t xml:space="preserve">8</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4.2  Atributos tipo “field” simples</w:t>
              <w:tab/>
              <w:t xml:space="preserve">10</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4.3  Atributos “fields” relacionales</w:t>
              <w:tab/>
              <w:t xml:space="preserve">11</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4.4  Atributos “fields” computados (“computed”)</w:t>
              <w:tab/>
              <w:t xml:space="preserve">15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4.5  Valores por defecto</w:t>
              <w:tab/>
              <w:t xml:space="preserve">16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4.6  Restricciones (constraints)</w:t>
              <w:tab/>
              <w:t xml:space="preserve">17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Vista</w:t>
              <w:tab/>
              <w:t xml:space="preserve">18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  Vista Tree</w:t>
              <w:tab/>
              <w:t xml:space="preserve">21</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5.1.1  Colores en las líneas</w:t>
              <w:tab/>
              <w:t xml:space="preserve">21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color w:val="000000"/>
              <w:u w:val="no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5.1.2  Líneas editables</w:t>
              <w:tab/>
              <w:t xml:space="preserve">22</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5.1.3  Campos invisibles</w:t>
              <w:tab/>
              <w:t xml:space="preserve">22</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5.1.4  Cálculos de totales</w:t>
              <w:tab/>
              <w:t xml:space="preserve">22</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  Vista Form</w:t>
              <w:tab/>
              <w:t xml:space="preserve">22</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5.2.1  Definir una vista “tree” específica en los “X2many”</w:t>
              <w:tab/>
              <w:t xml:space="preserve">23</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color w:val="000000"/>
              <w:u w:val="no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5.2.2  Widgets</w:t>
              <w:tab/>
              <w:t xml:space="preserve">23</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5.2.3  Valores por defecto en los One2many</w:t>
              <w:tab/>
              <w:t xml:space="preserve">24</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color w:val="000000"/>
              <w:u w:val="no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5.2.4  Domains en los Many2one</w:t>
              <w:tab/>
              <w:t xml:space="preserve">25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l9i0lschsg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5.2.5  Formularios dinámicos</w:t>
              <w:tab/>
              <w:t xml:space="preserve">25</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5.2.6  Asistentes</w:t>
              <w:tab/>
              <w:t xml:space="preserve">26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5.3  Vista Kanban</w:t>
              <w:tab/>
              <w:t xml:space="preserve">26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5.4  Vista Calendar</w:t>
              <w:tab/>
              <w:t xml:space="preserve">27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color w:val="000000"/>
              <w:u w:val="no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5.5  Vista Graph</w:t>
              <w:tab/>
              <w:t xml:space="preserve">27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color w:val="000000"/>
              <w:u w:val="no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5.6  Vista Search</w:t>
              <w:tab/>
              <w:t xml:space="preserve">28</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b w:val="1"/>
              <w:color w:val="000000"/>
              <w:u w:val="no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Seguridad en modelos Odoo</w:t>
              <w:tab/>
              <w:t xml:space="preserve">29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b w:val="1"/>
              <w:color w:val="000000"/>
              <w:u w:val="none"/>
            </w:rPr>
          </w:pPr>
          <w:hyperlink w:anchor="_r3i5y0dezyc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Módulos de ejemplo con comentarios</w:t>
              <w:tab/>
              <w:t xml:space="preserve">30</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b w:val="1"/>
              <w:color w:val="000000"/>
              <w:u w:val="none"/>
            </w:rPr>
          </w:pPr>
          <w:hyperlink w:anchor="_efwqehctkf1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 Bibliografía</w:t>
              <w:tab/>
              <w:t xml:space="preserve">30</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 Autores (en orden alfabético)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8">
      <w:pPr>
        <w:pStyle w:val="Heading1"/>
        <w:numPr>
          <w:ilvl w:val="0"/>
          <w:numId w:val="20"/>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9">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A">
      <w:pPr>
        <w:pageBreakBefore w:val="0"/>
        <w:numPr>
          <w:ilvl w:val="0"/>
          <w:numId w:val="13"/>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B">
      <w:pPr>
        <w:pageBreakBefore w:val="0"/>
        <w:numPr>
          <w:ilvl w:val="0"/>
          <w:numId w:val="13"/>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C">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La licencia de Odoo ha ido cambiando a lo largo del tiempo. La actual, de la versión 17 'Community' es LGPLv3. </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1">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3">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6">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A">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B">
      <w:pPr>
        <w:pageBreakBefore w:val="0"/>
        <w:ind w:left="0" w:firstLine="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4F">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0">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3">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4">
      <w:pPr>
        <w:pageBreakBefore w:val="0"/>
        <w:numPr>
          <w:ilvl w:val="0"/>
          <w:numId w:val="19"/>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5">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6">
      <w:pPr>
        <w:pageBreakBefore w:val="0"/>
        <w:numPr>
          <w:ilvl w:val="1"/>
          <w:numId w:val="19"/>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7">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8">
      <w:pPr>
        <w:pageBreakBefore w:val="0"/>
        <w:numPr>
          <w:ilvl w:val="0"/>
          <w:numId w:val="19"/>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9">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A">
      <w:pPr>
        <w:pageBreakBefore w:val="0"/>
        <w:numPr>
          <w:ilvl w:val="1"/>
          <w:numId w:val="19"/>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5B">
      <w:pPr>
        <w:pageBreakBefore w:val="0"/>
        <w:numPr>
          <w:ilvl w:val="1"/>
          <w:numId w:val="19"/>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5C">
      <w:pPr>
        <w:pageBreakBefore w:val="0"/>
        <w:numPr>
          <w:ilvl w:val="0"/>
          <w:numId w:val="19"/>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5D">
      <w:pPr>
        <w:pageBreakBefore w:val="0"/>
        <w:numPr>
          <w:ilvl w:val="0"/>
          <w:numId w:val="19"/>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5E">
      <w:pPr>
        <w:pageBreakBefore w:val="0"/>
        <w:numPr>
          <w:ilvl w:val="0"/>
          <w:numId w:val="19"/>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60">
      <w:pPr>
        <w:pStyle w:val="Heading1"/>
        <w:numPr>
          <w:ilvl w:val="0"/>
          <w:numId w:val="20"/>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1">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2">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3">
      <w:pPr>
        <w:numPr>
          <w:ilvl w:val="0"/>
          <w:numId w:val="14"/>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4">
      <w:pPr>
        <w:numPr>
          <w:ilvl w:val="1"/>
          <w:numId w:val="14"/>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5">
      <w:pPr>
        <w:numPr>
          <w:ilvl w:val="0"/>
          <w:numId w:val="14"/>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6">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7">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8">
      <w:pPr>
        <w:pageBreakBefore w:val="0"/>
        <w:ind w:firstLine="113"/>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lo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  En la base de datos, al nombrar el modelo, el punto se sustituye por una barra baja.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6C">
      <w:pPr>
        <w:pStyle w:val="Heading1"/>
        <w:numPr>
          <w:ilvl w:val="0"/>
          <w:numId w:val="20"/>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6D">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r w:rsidDel="00000000" w:rsidR="00000000" w:rsidRPr="00000000">
        <w:rPr>
          <w:rtl w:val="0"/>
        </w:rPr>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3">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78">
      <w:pPr>
        <w:pStyle w:val="Heading2"/>
        <w:numPr>
          <w:ilvl w:val="1"/>
          <w:numId w:val="20"/>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79">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7C">
      <w:pPr>
        <w:rPr/>
      </w:pPr>
      <w:r w:rsidDel="00000000" w:rsidR="00000000" w:rsidRPr="00000000">
        <w:rPr>
          <w:rtl w:val="0"/>
        </w:rPr>
        <w:t xml:space="preserve">Dentro de un módulo podemos encontrar:</w:t>
      </w:r>
    </w:p>
    <w:p w:rsidR="00000000" w:rsidDel="00000000" w:rsidP="00000000" w:rsidRDefault="00000000" w:rsidRPr="00000000" w14:paraId="0000007D">
      <w:pPr>
        <w:numPr>
          <w:ilvl w:val="0"/>
          <w:numId w:val="24"/>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7E">
      <w:pPr>
        <w:numPr>
          <w:ilvl w:val="0"/>
          <w:numId w:val="24"/>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7F">
      <w:pPr>
        <w:numPr>
          <w:ilvl w:val="1"/>
          <w:numId w:val="24"/>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80">
      <w:pPr>
        <w:numPr>
          <w:ilvl w:val="1"/>
          <w:numId w:val="24"/>
        </w:numPr>
        <w:ind w:left="1440" w:hanging="360"/>
      </w:pPr>
      <w:r w:rsidDel="00000000" w:rsidR="00000000" w:rsidRPr="00000000">
        <w:rPr>
          <w:rtl w:val="0"/>
        </w:rPr>
        <w:t xml:space="preserve">Datos de demo.</w:t>
      </w:r>
    </w:p>
    <w:p w:rsidR="00000000" w:rsidDel="00000000" w:rsidP="00000000" w:rsidRDefault="00000000" w:rsidRPr="00000000" w14:paraId="00000081">
      <w:pPr>
        <w:numPr>
          <w:ilvl w:val="1"/>
          <w:numId w:val="24"/>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2">
      <w:pPr>
        <w:numPr>
          <w:ilvl w:val="0"/>
          <w:numId w:val="24"/>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3">
      <w:pPr>
        <w:numPr>
          <w:ilvl w:val="0"/>
          <w:numId w:val="24"/>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Una vez ejecutado este comando, tenemos en la ruta indicada, la estructura básica de directorios y ficheros con un poco de código de ejemplo.</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aunque usar “scaffold” nos proporciona una base, durante la unidad puede ser buena idea basarse en ejemplos proporcionados en clase.</w:t>
      </w:r>
    </w:p>
    <w:p w:rsidR="00000000" w:rsidDel="00000000" w:rsidP="00000000" w:rsidRDefault="00000000" w:rsidRPr="00000000" w14:paraId="0000008B">
      <w:pPr>
        <w:pStyle w:val="Heading1"/>
        <w:numPr>
          <w:ilvl w:val="0"/>
          <w:numId w:val="20"/>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8C">
      <w:pPr>
        <w:pStyle w:val="Heading2"/>
        <w:numPr>
          <w:ilvl w:val="1"/>
          <w:numId w:val="20"/>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8D">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1">
      <w:pPr>
        <w:numPr>
          <w:ilvl w:val="0"/>
          <w:numId w:val="23"/>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2">
      <w:pPr>
        <w:numPr>
          <w:ilvl w:val="1"/>
          <w:numId w:val="23"/>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3">
      <w:pPr>
        <w:numPr>
          <w:ilvl w:val="0"/>
          <w:numId w:val="23"/>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96">
      <w:pPr>
        <w:rPr/>
      </w:pPr>
      <w:r w:rsidDel="00000000" w:rsidR="00000000" w:rsidRPr="00000000">
        <w:rPr>
          <w:rtl w:val="0"/>
        </w:rPr>
        <w:t xml:space="preserve">Este es el ejemplo de un modelo con solamente un “field”:</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99">
      <w:pPr>
        <w:numPr>
          <w:ilvl w:val="0"/>
          <w:numId w:val="8"/>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numPr>
          <w:ilvl w:val="0"/>
          <w:numId w:val="8"/>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9B">
      <w:pPr>
        <w:numPr>
          <w:ilvl w:val="0"/>
          <w:numId w:val="8"/>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r w:rsidDel="00000000" w:rsidR="00000000" w:rsidRPr="00000000">
        <w:rPr>
          <w:rtl w:val="0"/>
        </w:rPr>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9F">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20"/>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3">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A6">
      <w:pPr>
        <w:numPr>
          <w:ilvl w:val="0"/>
          <w:numId w:val="22"/>
        </w:numPr>
        <w:ind w:left="720" w:hanging="360"/>
        <w:rPr>
          <w:b w:val="1"/>
        </w:rPr>
      </w:pPr>
      <w:r w:rsidDel="00000000" w:rsidR="00000000" w:rsidRPr="00000000">
        <w:rPr>
          <w:b w:val="1"/>
          <w:rtl w:val="0"/>
        </w:rPr>
        <w:t xml:space="preserve">Integer</w:t>
      </w:r>
    </w:p>
    <w:p w:rsidR="00000000" w:rsidDel="00000000" w:rsidP="00000000" w:rsidRDefault="00000000" w:rsidRPr="00000000" w14:paraId="000000A7">
      <w:pPr>
        <w:numPr>
          <w:ilvl w:val="0"/>
          <w:numId w:val="22"/>
        </w:numPr>
        <w:ind w:left="720" w:hanging="360"/>
        <w:rPr>
          <w:b w:val="1"/>
        </w:rPr>
      </w:pPr>
      <w:r w:rsidDel="00000000" w:rsidR="00000000" w:rsidRPr="00000000">
        <w:rPr>
          <w:b w:val="1"/>
          <w:rtl w:val="0"/>
        </w:rPr>
        <w:t xml:space="preserve">Char</w:t>
      </w:r>
    </w:p>
    <w:p w:rsidR="00000000" w:rsidDel="00000000" w:rsidP="00000000" w:rsidRDefault="00000000" w:rsidRPr="00000000" w14:paraId="000000A8">
      <w:pPr>
        <w:numPr>
          <w:ilvl w:val="0"/>
          <w:numId w:val="22"/>
        </w:numPr>
        <w:ind w:left="720" w:hanging="360"/>
        <w:rPr>
          <w:b w:val="1"/>
        </w:rPr>
      </w:pPr>
      <w:r w:rsidDel="00000000" w:rsidR="00000000" w:rsidRPr="00000000">
        <w:rPr>
          <w:b w:val="1"/>
          <w:rtl w:val="0"/>
        </w:rPr>
        <w:t xml:space="preserve">Text</w:t>
      </w:r>
    </w:p>
    <w:p w:rsidR="00000000" w:rsidDel="00000000" w:rsidP="00000000" w:rsidRDefault="00000000" w:rsidRPr="00000000" w14:paraId="000000A9">
      <w:pPr>
        <w:numPr>
          <w:ilvl w:val="0"/>
          <w:numId w:val="22"/>
        </w:numPr>
        <w:ind w:left="720" w:hanging="360"/>
        <w:rPr>
          <w:b w:val="1"/>
        </w:rPr>
      </w:pPr>
      <w:r w:rsidDel="00000000" w:rsidR="00000000" w:rsidRPr="00000000">
        <w:rPr>
          <w:b w:val="1"/>
          <w:rtl w:val="0"/>
        </w:rPr>
        <w:t xml:space="preserve">Date</w:t>
      </w:r>
    </w:p>
    <w:p w:rsidR="00000000" w:rsidDel="00000000" w:rsidP="00000000" w:rsidRDefault="00000000" w:rsidRPr="00000000" w14:paraId="000000AA">
      <w:pPr>
        <w:numPr>
          <w:ilvl w:val="0"/>
          <w:numId w:val="22"/>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AB">
      <w:pPr>
        <w:numPr>
          <w:ilvl w:val="0"/>
          <w:numId w:val="22"/>
        </w:numPr>
        <w:ind w:left="720" w:hanging="360"/>
        <w:rPr>
          <w:b w:val="1"/>
        </w:rPr>
      </w:pPr>
      <w:r w:rsidDel="00000000" w:rsidR="00000000" w:rsidRPr="00000000">
        <w:rPr>
          <w:b w:val="1"/>
          <w:rtl w:val="0"/>
        </w:rPr>
        <w:t xml:space="preserve">Float</w:t>
      </w:r>
    </w:p>
    <w:p w:rsidR="00000000" w:rsidDel="00000000" w:rsidP="00000000" w:rsidRDefault="00000000" w:rsidRPr="00000000" w14:paraId="000000AC">
      <w:pPr>
        <w:numPr>
          <w:ilvl w:val="0"/>
          <w:numId w:val="22"/>
        </w:numPr>
        <w:ind w:left="720" w:hanging="360"/>
        <w:rPr>
          <w:b w:val="1"/>
        </w:rPr>
      </w:pPr>
      <w:r w:rsidDel="00000000" w:rsidR="00000000" w:rsidRPr="00000000">
        <w:rPr>
          <w:b w:val="1"/>
          <w:rtl w:val="0"/>
        </w:rPr>
        <w:t xml:space="preserve">Boolean</w:t>
      </w:r>
    </w:p>
    <w:p w:rsidR="00000000" w:rsidDel="00000000" w:rsidP="00000000" w:rsidRDefault="00000000" w:rsidRPr="00000000" w14:paraId="000000AD">
      <w:pPr>
        <w:numPr>
          <w:ilvl w:val="0"/>
          <w:numId w:val="22"/>
        </w:numPr>
        <w:ind w:left="720" w:hanging="360"/>
        <w:rPr>
          <w:b w:val="1"/>
        </w:rPr>
      </w:pPr>
      <w:r w:rsidDel="00000000" w:rsidR="00000000" w:rsidRPr="00000000">
        <w:rPr>
          <w:b w:val="1"/>
          <w:rtl w:val="0"/>
        </w:rPr>
        <w:t xml:space="preserve">Html</w:t>
      </w:r>
    </w:p>
    <w:p w:rsidR="00000000" w:rsidDel="00000000" w:rsidP="00000000" w:rsidRDefault="00000000" w:rsidRPr="00000000" w14:paraId="000000AE">
      <w:pPr>
        <w:numPr>
          <w:ilvl w:val="0"/>
          <w:numId w:val="22"/>
        </w:numPr>
        <w:ind w:left="720" w:hanging="360"/>
      </w:pPr>
      <w:r w:rsidDel="00000000" w:rsidR="00000000" w:rsidRPr="00000000">
        <w:rPr>
          <w:b w:val="1"/>
          <w:rtl w:val="0"/>
        </w:rPr>
        <w:t xml:space="preserve">Binary</w:t>
      </w:r>
      <w:r w:rsidDel="00000000" w:rsidR="00000000" w:rsidRPr="00000000">
        <w:rPr>
          <w:rtl w:val="0"/>
        </w:rPr>
        <w:t xml:space="preserve">: Archivos binarios que proporciona en el formato “base64”. Pueden guardarse imágenes u otros elementos. Antes de Odoo 13 en este tipo de “fields” se guardaban las imágenes. Los binarios se guardan dentro de un directorio indicado en odoo.conf. En Ubuntu puede ser </w:t>
      </w:r>
      <w:r w:rsidDel="00000000" w:rsidR="00000000" w:rsidRPr="00000000">
        <w:rPr>
          <w:b w:val="1"/>
          <w:rtl w:val="0"/>
        </w:rPr>
        <w:t xml:space="preserve">/var/lib/odoo/.local/share/Odoo/filestore</w:t>
      </w:r>
      <w:r w:rsidDel="00000000" w:rsidR="00000000" w:rsidRPr="00000000">
        <w:rPr>
          <w:rtl w:val="0"/>
        </w:rPr>
        <w:t xml:space="preserve">. El PATH relativo se guarda en la base de datos en la tabla </w:t>
      </w:r>
      <w:r w:rsidDel="00000000" w:rsidR="00000000" w:rsidRPr="00000000">
        <w:rPr>
          <w:b w:val="1"/>
          <w:rtl w:val="0"/>
        </w:rPr>
        <w:t xml:space="preserve">ir_attachment</w:t>
      </w:r>
      <w:r w:rsidDel="00000000" w:rsidR="00000000" w:rsidRPr="00000000">
        <w:rPr>
          <w:rtl w:val="0"/>
        </w:rPr>
        <w:t xml:space="preserve"> junto al modelo, id y nombre del field. </w:t>
      </w:r>
    </w:p>
    <w:p w:rsidR="00000000" w:rsidDel="00000000" w:rsidP="00000000" w:rsidRDefault="00000000" w:rsidRPr="00000000" w14:paraId="000000AF">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B0">
      <w:pPr>
        <w:numPr>
          <w:ilvl w:val="0"/>
          <w:numId w:val="18"/>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B1">
      <w:pPr>
        <w:numPr>
          <w:ilvl w:val="0"/>
          <w:numId w:val="18"/>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B2">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B5">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numPr>
          <w:ilvl w:val="1"/>
          <w:numId w:val="20"/>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B9">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BE">
      <w:pPr>
        <w:rPr/>
      </w:pPr>
      <w:r w:rsidDel="00000000" w:rsidR="00000000" w:rsidRPr="00000000">
        <w:rPr>
          <w:rtl w:val="0"/>
        </w:rPr>
        <w:t xml:space="preserve">Para ello utilizaremos los “fields” relacionales de Odoo:</w:t>
      </w:r>
    </w:p>
    <w:p w:rsidR="00000000" w:rsidDel="00000000" w:rsidP="00000000" w:rsidRDefault="00000000" w:rsidRPr="00000000" w14:paraId="000000BF">
      <w:pPr>
        <w:numPr>
          <w:ilvl w:val="0"/>
          <w:numId w:val="12"/>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C0">
      <w:pPr>
        <w:numPr>
          <w:ilvl w:val="1"/>
          <w:numId w:val="12"/>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numPr>
          <w:ilvl w:val="0"/>
          <w:numId w:val="21"/>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C7">
      <w:pPr>
        <w:numPr>
          <w:ilvl w:val="1"/>
          <w:numId w:val="21"/>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C8">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CD">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C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D4">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D5">
      <w:pPr>
        <w:numPr>
          <w:ilvl w:val="0"/>
          <w:numId w:val="17"/>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D6">
      <w:pPr>
        <w:numPr>
          <w:ilvl w:val="0"/>
          <w:numId w:val="17"/>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D7">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DB">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DF">
      <w:pPr>
        <w:numPr>
          <w:ilvl w:val="0"/>
          <w:numId w:val="3"/>
        </w:numPr>
        <w:spacing w:after="0" w:afterAutospacing="0"/>
        <w:ind w:left="720" w:hanging="360"/>
        <w:rPr>
          <w:u w:val="none"/>
        </w:rPr>
      </w:pPr>
      <w:r w:rsidDel="00000000" w:rsidR="00000000" w:rsidRPr="00000000">
        <w:rPr>
          <w:rtl w:val="0"/>
        </w:rPr>
        <w:t xml:space="preserve">La mala solución sería guardar la bandera en cada ciudad. </w:t>
      </w:r>
    </w:p>
    <w:p w:rsidR="00000000" w:rsidDel="00000000" w:rsidP="00000000" w:rsidRDefault="00000000" w:rsidRPr="00000000" w14:paraId="000000E0">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E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Pero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E5">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E6">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EF">
      <w:pPr>
        <w:pStyle w:val="Heading2"/>
        <w:numPr>
          <w:ilvl w:val="1"/>
          <w:numId w:val="20"/>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0F0">
      <w:pPr>
        <w:rPr/>
      </w:pPr>
      <w:r w:rsidDel="00000000" w:rsidR="00000000" w:rsidRPr="00000000">
        <w:rPr>
          <w:rtl w:val="0"/>
        </w:rPr>
        <w:t xml:space="preserve">Hasta ahora, los “fields” que hemos visto almacenaban algo en la base de datos. No obstante, puede que no queramos que algunos datos estén guardados en la base de datos, sino que se recalculen cada vez que vamos a verlos. En ese caso, hay que utilizar campos computados. </w:t>
      </w:r>
    </w:p>
    <w:p w:rsidR="00000000" w:rsidDel="00000000" w:rsidP="00000000" w:rsidRDefault="00000000" w:rsidRPr="00000000" w14:paraId="000000F1">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0F2">
      <w:pPr>
        <w:rPr/>
      </w:pPr>
      <w:r w:rsidDel="00000000" w:rsidR="00000000" w:rsidRPr="00000000">
        <w:rPr>
          <w:rtl w:val="0"/>
        </w:rPr>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En caso de no querer guardar en la base de datos, pero sí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0F9">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r w:rsidDel="00000000" w:rsidR="00000000" w:rsidRPr="00000000">
        <w:rPr>
          <w:rtl w:val="0"/>
        </w:rPr>
      </w:r>
    </w:p>
    <w:p w:rsidR="00000000" w:rsidDel="00000000" w:rsidP="00000000" w:rsidRDefault="00000000" w:rsidRPr="00000000" w14:paraId="000000FA">
      <w:pPr>
        <w:pStyle w:val="Heading2"/>
        <w:numPr>
          <w:ilvl w:val="1"/>
          <w:numId w:val="20"/>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0FB">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0FC">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02">
      <w:pPr>
        <w:numPr>
          <w:ilvl w:val="0"/>
          <w:numId w:val="26"/>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03">
      <w:pPr>
        <w:numPr>
          <w:ilvl w:val="0"/>
          <w:numId w:val="26"/>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04">
      <w:pPr>
        <w:numPr>
          <w:ilvl w:val="0"/>
          <w:numId w:val="26"/>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05">
      <w:pPr>
        <w:numPr>
          <w:ilvl w:val="0"/>
          <w:numId w:val="26"/>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06">
      <w:pPr>
        <w:numPr>
          <w:ilvl w:val="0"/>
          <w:numId w:val="26"/>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07">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0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09">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0D">
      <w:pPr>
        <w:pStyle w:val="Heading2"/>
        <w:numPr>
          <w:ilvl w:val="1"/>
          <w:numId w:val="20"/>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0E">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12">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15">
      <w:pPr>
        <w:pStyle w:val="Heading1"/>
        <w:numPr>
          <w:ilvl w:val="0"/>
          <w:numId w:val="20"/>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r w:rsidDel="00000000" w:rsidR="00000000" w:rsidRPr="00000000">
        <w:drawing>
          <wp:anchor allowOverlap="1" behindDoc="0" distB="114300" distT="114300" distL="114300" distR="114300" hidden="0" layoutInCell="1" locked="0" relativeHeight="0" simplePos="0">
            <wp:simplePos x="0" y="0"/>
            <wp:positionH relativeFrom="column">
              <wp:posOffset>1100618</wp:posOffset>
            </wp:positionH>
            <wp:positionV relativeFrom="paragraph">
              <wp:posOffset>609600</wp:posOffset>
            </wp:positionV>
            <wp:extent cx="3988118" cy="174078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88118" cy="1740788"/>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la primera conexión con el navegador web, el servidor Odoo le proporciona un HTML mínimo, una SPA (Single Page Application) en Javascript y un CSS. Esto es un cliente web para el servidor y  es lo que se considera la vista. </w:t>
      </w:r>
    </w:p>
    <w:p w:rsidR="00000000" w:rsidDel="00000000" w:rsidP="00000000" w:rsidRDefault="00000000" w:rsidRPr="00000000" w14:paraId="00000119">
      <w:pPr>
        <w:rPr/>
      </w:pPr>
      <w:r w:rsidDel="00000000" w:rsidR="00000000" w:rsidRPr="00000000">
        <w:rPr>
          <w:rtl w:val="0"/>
        </w:rPr>
        <w:t xml:space="preserve">Pero Odoo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w:t>
      </w:r>
    </w:p>
    <w:p w:rsidR="00000000" w:rsidDel="00000000" w:rsidP="00000000" w:rsidRDefault="00000000" w:rsidRPr="00000000" w14:paraId="0000011A">
      <w:pPr>
        <w:rPr/>
      </w:pPr>
      <w:r w:rsidDel="00000000" w:rsidR="00000000" w:rsidRPr="00000000">
        <w:rPr>
          <w:rtl w:val="0"/>
        </w:rPr>
        <w:t xml:space="preserve">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1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21">
      <w:pPr>
        <w:pageBreakBefore w:val="0"/>
        <w:numPr>
          <w:ilvl w:val="0"/>
          <w:numId w:val="15"/>
        </w:numPr>
        <w:spacing w:after="0" w:afterAutospacing="0"/>
        <w:ind w:left="720" w:hanging="360"/>
        <w:rPr>
          <w:u w:val="none"/>
        </w:rPr>
      </w:pPr>
      <w:r w:rsidDel="00000000" w:rsidR="00000000" w:rsidRPr="00000000">
        <w:rPr>
          <w:rtl w:val="0"/>
        </w:rPr>
        <w:t xml:space="preserve">Definiciones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22">
      <w:pPr>
        <w:pageBreakBefore w:val="0"/>
        <w:numPr>
          <w:ilvl w:val="0"/>
          <w:numId w:val="15"/>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23">
      <w:pPr>
        <w:pageBreakBefore w:val="0"/>
        <w:numPr>
          <w:ilvl w:val="0"/>
          <w:numId w:val="15"/>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24">
      <w:pPr>
        <w:pageBreakBefore w:val="0"/>
        <w:ind w:left="0" w:firstLine="0"/>
        <w:rPr/>
      </w:pPr>
      <w:r w:rsidDel="00000000" w:rsidR="00000000" w:rsidRPr="00000000">
        <w:rPr>
          <w:rtl w:val="0"/>
        </w:rPr>
        <w:t xml:space="preserve">Aquí un ejemplo completo:</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27">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2D">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2E">
      <w:pPr>
        <w:pStyle w:val="Heading2"/>
        <w:numPr>
          <w:ilvl w:val="1"/>
          <w:numId w:val="20"/>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2F">
      <w:pPr>
        <w:rPr/>
      </w:pPr>
      <w:r w:rsidDel="00000000" w:rsidR="00000000" w:rsidRPr="00000000">
        <w:rPr>
          <w:rtl w:val="0"/>
        </w:rPr>
        <w:t xml:space="preserve">La vista “tree” muestra una lista de “records” sobre un modelo. Veamos un ejemplo básico:</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1">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34">
      <w:pPr>
        <w:pStyle w:val="Heading3"/>
        <w:pageBreakBefore w:val="0"/>
        <w:numPr>
          <w:ilvl w:val="2"/>
          <w:numId w:val="20"/>
        </w:numPr>
        <w:rPr>
          <w:u w:val="none"/>
        </w:rPr>
      </w:pPr>
      <w:bookmarkStart w:colFirst="0" w:colLast="0" w:name="_g15i7aacv53b" w:id="14"/>
      <w:bookmarkEnd w:id="14"/>
      <w:r w:rsidDel="00000000" w:rsidR="00000000" w:rsidRPr="00000000">
        <w:rPr>
          <w:rtl w:val="0"/>
        </w:rPr>
        <w:t xml:space="preserve">Colores en las líneas</w:t>
      </w:r>
    </w:p>
    <w:p w:rsidR="00000000" w:rsidDel="00000000" w:rsidP="00000000" w:rsidRDefault="00000000" w:rsidRPr="00000000" w14:paraId="00000135">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36">
      <w:pPr>
        <w:pageBreakBefore w:val="0"/>
        <w:numPr>
          <w:ilvl w:val="0"/>
          <w:numId w:val="11"/>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37">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38">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39">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3A">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3D">
      <w:pPr>
        <w:pageBreakBefore w:val="0"/>
        <w:numPr>
          <w:ilvl w:val="0"/>
          <w:numId w:val="11"/>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3E">
      <w:pPr>
        <w:pageBreakBefore w:val="0"/>
        <w:rPr/>
      </w:pPr>
      <w:r w:rsidDel="00000000" w:rsidR="00000000" w:rsidRPr="00000000">
        <w:rPr>
          <w:rtl w:val="0"/>
        </w:rPr>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0">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44">
      <w:pPr>
        <w:pStyle w:val="Heading3"/>
        <w:pageBreakBefore w:val="0"/>
        <w:numPr>
          <w:ilvl w:val="2"/>
          <w:numId w:val="20"/>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45">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 en un elemento de la lista.</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48">
      <w:pPr>
        <w:pStyle w:val="Heading3"/>
        <w:pageBreakBefore w:val="0"/>
        <w:numPr>
          <w:ilvl w:val="2"/>
          <w:numId w:val="20"/>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49">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4A">
      <w:pPr>
        <w:pStyle w:val="Heading3"/>
        <w:pageBreakBefore w:val="0"/>
        <w:numPr>
          <w:ilvl w:val="2"/>
          <w:numId w:val="20"/>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4B">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Ejemplo de como quedaría una vista “tree” con todo lo que hemos explicado:</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F">
      <w:pPr>
        <w:pStyle w:val="Heading2"/>
        <w:numPr>
          <w:ilvl w:val="1"/>
          <w:numId w:val="20"/>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0">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52">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ageBreakBefore w:val="0"/>
        <w:ind w:left="0" w:firstLine="0"/>
        <w:rPr/>
      </w:pPr>
      <w:r w:rsidDel="00000000" w:rsidR="00000000" w:rsidRPr="00000000">
        <w:rPr>
          <w:rtl w:val="0"/>
        </w:rPr>
      </w:r>
    </w:p>
    <w:p w:rsidR="00000000" w:rsidDel="00000000" w:rsidP="00000000" w:rsidRDefault="00000000" w:rsidRPr="00000000" w14:paraId="00000156">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57">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58">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59">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5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5B">
      <w:pPr>
        <w:pageBreakBefore w:val="0"/>
        <w:ind w:left="0" w:firstLine="0"/>
        <w:rPr/>
      </w:pPr>
      <w:r w:rsidDel="00000000" w:rsidR="00000000" w:rsidRPr="00000000">
        <w:rPr>
          <w:rtl w:val="0"/>
        </w:rPr>
      </w:r>
    </w:p>
    <w:p w:rsidR="00000000" w:rsidDel="00000000" w:rsidP="00000000" w:rsidRDefault="00000000" w:rsidRPr="00000000" w14:paraId="0000015C">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5D">
      <w:pPr>
        <w:pStyle w:val="Heading3"/>
        <w:pageBreakBefore w:val="0"/>
        <w:numPr>
          <w:ilvl w:val="2"/>
          <w:numId w:val="20"/>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5E">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5F">
      <w:pPr>
        <w:pageBreakBefore w:val="0"/>
        <w:numPr>
          <w:ilvl w:val="0"/>
          <w:numId w:val="10"/>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60">
      <w:pPr>
        <w:pageBreakBefore w:val="0"/>
        <w:numPr>
          <w:ilvl w:val="0"/>
          <w:numId w:val="10"/>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1">
      <w:pPr>
        <w:pageBreakBefore w:val="0"/>
        <w:ind w:left="0" w:firstLine="0"/>
        <w:rPr/>
      </w:pPr>
      <w:r w:rsidDel="00000000" w:rsidR="00000000" w:rsidRPr="00000000">
        <w:rPr>
          <w:rtl w:val="0"/>
        </w:rPr>
        <w:t xml:space="preserve">Por eso se puede definir un “tree” dentro del “field”:</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3">
      <w:pPr>
        <w:pStyle w:val="Heading3"/>
        <w:pageBreakBefore w:val="0"/>
        <w:rPr/>
      </w:pPr>
      <w:bookmarkStart w:colFirst="0" w:colLast="0" w:name="_dk1xjlcm1at" w:id="20"/>
      <w:bookmarkEnd w:id="20"/>
      <w:r w:rsidDel="00000000" w:rsidR="00000000" w:rsidRPr="00000000">
        <w:rPr>
          <w:rtl w:val="0"/>
        </w:rPr>
      </w:r>
    </w:p>
    <w:p w:rsidR="00000000" w:rsidDel="00000000" w:rsidP="00000000" w:rsidRDefault="00000000" w:rsidRPr="00000000" w14:paraId="00000164">
      <w:pPr>
        <w:pStyle w:val="Heading3"/>
        <w:pageBreakBefore w:val="0"/>
        <w:numPr>
          <w:ilvl w:val="2"/>
          <w:numId w:val="20"/>
        </w:numPr>
        <w:rPr>
          <w:u w:val="none"/>
        </w:rPr>
      </w:pPr>
      <w:bookmarkStart w:colFirst="0" w:colLast="0" w:name="_c7j3sj38voy9" w:id="21"/>
      <w:bookmarkEnd w:id="21"/>
      <w:r w:rsidDel="00000000" w:rsidR="00000000" w:rsidRPr="00000000">
        <w:rPr>
          <w:rtl w:val="0"/>
        </w:rPr>
        <w:t xml:space="preserve">Widgets</w:t>
      </w:r>
    </w:p>
    <w:p w:rsidR="00000000" w:rsidDel="00000000" w:rsidP="00000000" w:rsidRDefault="00000000" w:rsidRPr="00000000" w14:paraId="00000165">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6A">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6B">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6C">
      <w:pPr>
        <w:pageBreakBefore w:val="0"/>
        <w:numPr>
          <w:ilvl w:val="0"/>
          <w:numId w:val="25"/>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6D">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6E">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6F">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70">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1">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2">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3">
      <w:pPr>
        <w:pageBreakBefore w:val="0"/>
        <w:numPr>
          <w:ilvl w:val="0"/>
          <w:numId w:val="25"/>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4">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75">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76">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77">
      <w:pPr>
        <w:pageBreakBefore w:val="0"/>
        <w:numPr>
          <w:ilvl w:val="0"/>
          <w:numId w:val="16"/>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numPr>
          <w:ilvl w:val="0"/>
          <w:numId w:val="16"/>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79">
      <w:pPr>
        <w:pageBreakBefore w:val="0"/>
        <w:ind w:left="720" w:firstLine="0"/>
        <w:rPr/>
      </w:pPr>
      <w:r w:rsidDel="00000000" w:rsidR="00000000" w:rsidRPr="00000000">
        <w:rPr/>
        <w:drawing>
          <wp:inline distB="114300" distT="114300" distL="114300" distR="114300">
            <wp:extent cx="6192210" cy="241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3"/>
        <w:pageBreakBefore w:val="0"/>
        <w:numPr>
          <w:ilvl w:val="2"/>
          <w:numId w:val="20"/>
        </w:numPr>
        <w:rPr>
          <w:u w:val="none"/>
        </w:rPr>
      </w:pPr>
      <w:bookmarkStart w:colFirst="0" w:colLast="0" w:name="_akuym8ylkzg" w:id="22"/>
      <w:bookmarkEnd w:id="22"/>
      <w:r w:rsidDel="00000000" w:rsidR="00000000" w:rsidRPr="00000000">
        <w:rPr>
          <w:rtl w:val="0"/>
        </w:rPr>
        <w:t xml:space="preserve">Valores por defecto en los One2many</w:t>
      </w:r>
    </w:p>
    <w:p w:rsidR="00000000" w:rsidDel="00000000" w:rsidP="00000000" w:rsidRDefault="00000000" w:rsidRPr="00000000" w14:paraId="0000017E">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7F">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80">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Para saber más de como usar “context” podéis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y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84">
      <w:pPr>
        <w:pStyle w:val="Heading3"/>
        <w:pageBreakBefore w:val="0"/>
        <w:numPr>
          <w:ilvl w:val="2"/>
          <w:numId w:val="20"/>
        </w:numPr>
        <w:rPr>
          <w:u w:val="none"/>
        </w:rPr>
      </w:pPr>
      <w:bookmarkStart w:colFirst="0" w:colLast="0" w:name="_herq84u9vj5r" w:id="23"/>
      <w:bookmarkEnd w:id="23"/>
      <w:r w:rsidDel="00000000" w:rsidR="00000000" w:rsidRPr="00000000">
        <w:rPr>
          <w:rtl w:val="0"/>
        </w:rPr>
        <w:t xml:space="preserve">Domains en los Many2one</w:t>
      </w:r>
    </w:p>
    <w:p w:rsidR="00000000" w:rsidDel="00000000" w:rsidP="00000000" w:rsidRDefault="00000000" w:rsidRPr="00000000" w14:paraId="00000185">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p>
        </w:tc>
      </w:tr>
    </w:tbl>
    <w:p w:rsidR="00000000" w:rsidDel="00000000" w:rsidP="00000000" w:rsidRDefault="00000000" w:rsidRPr="00000000" w14:paraId="00000187">
      <w:pPr>
        <w:pStyle w:val="Heading3"/>
        <w:pageBreakBefore w:val="0"/>
        <w:numPr>
          <w:ilvl w:val="2"/>
          <w:numId w:val="20"/>
        </w:numPr>
        <w:rPr>
          <w:u w:val="none"/>
        </w:rPr>
      </w:pPr>
      <w:bookmarkStart w:colFirst="0" w:colLast="0" w:name="_l9i0lschsgz" w:id="24"/>
      <w:bookmarkEnd w:id="24"/>
      <w:r w:rsidDel="00000000" w:rsidR="00000000" w:rsidRPr="00000000">
        <w:rPr>
          <w:rtl w:val="0"/>
        </w:rPr>
        <w:t xml:space="preserve">Formularios dinámicos</w:t>
      </w:r>
    </w:p>
    <w:p w:rsidR="00000000" w:rsidDel="00000000" w:rsidP="00000000" w:rsidRDefault="00000000" w:rsidRPr="00000000" w14:paraId="00000188">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89">
      <w:pPr>
        <w:pageBreakBefore w:val="0"/>
        <w:rPr>
          <w:b w:val="1"/>
        </w:rPr>
      </w:pPr>
      <w:r w:rsidDel="00000000" w:rsidR="00000000" w:rsidRPr="00000000">
        <w:rPr>
          <w:b w:val="1"/>
          <w:rtl w:val="0"/>
        </w:rPr>
        <w:t xml:space="preserve">Se puede ocultar condicionalmente un “field”:</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8B">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8D">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8F">
      <w:pPr>
        <w:pageBreakBefore w:val="0"/>
        <w:ind w:left="0" w:firstLine="0"/>
        <w:rPr/>
      </w:pPr>
      <w:r w:rsidDel="00000000" w:rsidR="00000000" w:rsidRPr="00000000">
        <w:rPr>
          <w:rtl w:val="0"/>
        </w:rPr>
        <w:t xml:space="preserve">También existe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6">
      <w:pPr>
        <w:pageBreakBefore w:val="0"/>
        <w:ind w:left="0" w:firstLine="0"/>
        <w:rPr/>
      </w:pPr>
      <w:r w:rsidDel="00000000" w:rsidR="00000000" w:rsidRPr="00000000">
        <w:rPr>
          <w:rtl w:val="0"/>
        </w:rPr>
        <w:t xml:space="preserve">Veamos ahora un ejemplo con todos los “attrs”:</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8">
      <w:pPr>
        <w:pStyle w:val="Heading3"/>
        <w:pageBreakBefore w:val="0"/>
        <w:numPr>
          <w:ilvl w:val="2"/>
          <w:numId w:val="20"/>
        </w:numPr>
        <w:rPr>
          <w:u w:val="none"/>
        </w:rPr>
      </w:pPr>
      <w:bookmarkStart w:colFirst="0" w:colLast="0" w:name="_rtqvlqkx7nlr" w:id="25"/>
      <w:bookmarkEnd w:id="25"/>
      <w:r w:rsidDel="00000000" w:rsidR="00000000" w:rsidRPr="00000000">
        <w:rPr>
          <w:rtl w:val="0"/>
        </w:rPr>
        <w:t xml:space="preserve">Asistentes</w:t>
      </w:r>
    </w:p>
    <w:p w:rsidR="00000000" w:rsidDel="00000000" w:rsidP="00000000" w:rsidRDefault="00000000" w:rsidRPr="00000000" w14:paraId="00000199">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B">
      <w:pPr>
        <w:pStyle w:val="Heading2"/>
        <w:numPr>
          <w:ilvl w:val="1"/>
          <w:numId w:val="20"/>
        </w:numPr>
        <w:ind w:left="576"/>
        <w:rPr/>
      </w:pPr>
      <w:bookmarkStart w:colFirst="0" w:colLast="0" w:name="_hr7jttygd8q5" w:id="26"/>
      <w:bookmarkEnd w:id="26"/>
      <w:r w:rsidDel="00000000" w:rsidR="00000000" w:rsidRPr="00000000">
        <w:rPr>
          <w:rtl w:val="0"/>
        </w:rPr>
        <w:t xml:space="preserve">Vista Kanban</w:t>
      </w:r>
    </w:p>
    <w:p w:rsidR="00000000" w:rsidDel="00000000" w:rsidP="00000000" w:rsidRDefault="00000000" w:rsidRPr="00000000" w14:paraId="0000019C">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9D">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Veamos un ejemplo mínimo de “Kanban” donde describiremos posteriormente para qué sirven las etiquetas y atributos.</w:t>
      </w:r>
    </w:p>
    <w:tbl>
      <w:tblPr>
        <w:tblStyle w:val="Table2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1">
      <w:pPr>
        <w:pStyle w:val="Heading2"/>
        <w:numPr>
          <w:ilvl w:val="1"/>
          <w:numId w:val="20"/>
        </w:numPr>
        <w:ind w:left="576"/>
        <w:rPr/>
      </w:pPr>
      <w:bookmarkStart w:colFirst="0" w:colLast="0" w:name="_mse4nrae9fqe" w:id="27"/>
      <w:bookmarkEnd w:id="27"/>
      <w:r w:rsidDel="00000000" w:rsidR="00000000" w:rsidRPr="00000000">
        <w:rPr>
          <w:rtl w:val="0"/>
        </w:rPr>
        <w:t xml:space="preserve">Vista Calendar</w:t>
      </w:r>
    </w:p>
    <w:p w:rsidR="00000000" w:rsidDel="00000000" w:rsidP="00000000" w:rsidRDefault="00000000" w:rsidRPr="00000000" w14:paraId="000001A2">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A3">
      <w:pPr>
        <w:pageBreakBefore w:val="0"/>
        <w:ind w:left="0" w:firstLine="0"/>
        <w:rPr/>
      </w:pPr>
      <w:r w:rsidDel="00000000" w:rsidR="00000000" w:rsidRPr="00000000">
        <w:rPr>
          <w:rtl w:val="0"/>
        </w:rPr>
        <w:t xml:space="preserve">La sintaxis es muy simple, veamos un ejemplo:</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5">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A6">
      <w:pPr>
        <w:pStyle w:val="Heading2"/>
        <w:numPr>
          <w:ilvl w:val="1"/>
          <w:numId w:val="20"/>
        </w:numPr>
        <w:ind w:left="576"/>
        <w:rPr/>
      </w:pPr>
      <w:bookmarkStart w:colFirst="0" w:colLast="0" w:name="_7bybvwbln8gu" w:id="28"/>
      <w:bookmarkEnd w:id="28"/>
      <w:r w:rsidDel="00000000" w:rsidR="00000000" w:rsidRPr="00000000">
        <w:rPr>
          <w:rtl w:val="0"/>
        </w:rPr>
        <w:t xml:space="preserve">Vista Graph</w:t>
      </w:r>
    </w:p>
    <w:p w:rsidR="00000000" w:rsidDel="00000000" w:rsidP="00000000" w:rsidRDefault="00000000" w:rsidRPr="00000000" w14:paraId="000001A7">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A8">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A">
      <w:pPr>
        <w:pageBreakBefore w:val="0"/>
        <w:ind w:left="0" w:firstLine="0"/>
        <w:rPr/>
      </w:pPr>
      <w:r w:rsidDel="00000000" w:rsidR="00000000" w:rsidRPr="00000000">
        <w:rPr>
          <w:rtl w:val="0"/>
        </w:rPr>
      </w:r>
    </w:p>
    <w:p w:rsidR="00000000" w:rsidDel="00000000" w:rsidP="00000000" w:rsidRDefault="00000000" w:rsidRPr="00000000" w14:paraId="000001AB">
      <w:pPr>
        <w:pStyle w:val="Heading2"/>
        <w:numPr>
          <w:ilvl w:val="1"/>
          <w:numId w:val="20"/>
        </w:numPr>
        <w:ind w:left="576"/>
        <w:rPr/>
      </w:pPr>
      <w:bookmarkStart w:colFirst="0" w:colLast="0" w:name="_uwhnxn222xcr" w:id="29"/>
      <w:bookmarkEnd w:id="29"/>
      <w:r w:rsidDel="00000000" w:rsidR="00000000" w:rsidRPr="00000000">
        <w:rPr>
          <w:rtl w:val="0"/>
        </w:rPr>
        <w:t xml:space="preserve">Vista Search</w:t>
      </w:r>
    </w:p>
    <w:p w:rsidR="00000000" w:rsidDel="00000000" w:rsidP="00000000" w:rsidRDefault="00000000" w:rsidRPr="00000000" w14:paraId="000001AC">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AD">
      <w:pPr>
        <w:pageBreakBefore w:val="0"/>
        <w:ind w:left="0" w:firstLine="0"/>
        <w:rPr/>
      </w:pPr>
      <w:r w:rsidDel="00000000" w:rsidR="00000000" w:rsidRPr="00000000">
        <w:rPr>
          <w:rtl w:val="0"/>
        </w:rPr>
        <w:t xml:space="preserve">Veamos un ejemplo completo de vista “search”:</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AF">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B0">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B1">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B2">
      <w:pPr>
        <w:pStyle w:val="Heading1"/>
        <w:pageBreakBefore w:val="0"/>
        <w:numPr>
          <w:ilvl w:val="0"/>
          <w:numId w:val="20"/>
        </w:numPr>
        <w:ind w:left="432" w:right="0"/>
        <w:rPr/>
      </w:pPr>
      <w:bookmarkStart w:colFirst="0" w:colLast="0" w:name="_52hibfi4gv7g" w:id="30"/>
      <w:bookmarkEnd w:id="30"/>
      <w:r w:rsidDel="00000000" w:rsidR="00000000" w:rsidRPr="00000000">
        <w:rPr>
          <w:rtl w:val="0"/>
        </w:rPr>
        <w:t xml:space="preserve">Seguridad en modelos Odoo</w:t>
      </w:r>
    </w:p>
    <w:p w:rsidR="00000000" w:rsidDel="00000000" w:rsidP="00000000" w:rsidRDefault="00000000" w:rsidRPr="00000000" w14:paraId="000001B3">
      <w:pPr>
        <w:rPr/>
      </w:pPr>
      <w:r w:rsidDel="00000000" w:rsidR="00000000" w:rsidRPr="00000000">
        <w:rPr>
          <w:rtl w:val="0"/>
        </w:rPr>
        <w:t xml:space="preserve">Odoo necesita conocer que permisos tienen los usuarios/roles del sistema para cada modelo particular de nuestro módulo. En el fichero “</w:t>
      </w:r>
      <w:r w:rsidDel="00000000" w:rsidR="00000000" w:rsidRPr="00000000">
        <w:rPr>
          <w:b w:val="1"/>
          <w:rtl w:val="0"/>
        </w:rPr>
        <w:t xml:space="preserve">__manifest__.py</w:t>
      </w:r>
      <w:r w:rsidDel="00000000" w:rsidR="00000000" w:rsidRPr="00000000">
        <w:rPr>
          <w:rtl w:val="0"/>
        </w:rPr>
        <w:t xml:space="preserve">” se indica un la ruta a un fichero donde se detallan estos permisos, de una forma similar a:</w:t>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B5">
      <w:pPr>
        <w:rPr/>
      </w:pPr>
      <w:r w:rsidDel="00000000" w:rsidR="00000000" w:rsidRPr="00000000">
        <w:rPr>
          <w:rtl w:val="0"/>
        </w:rPr>
        <w:t xml:space="preserve">El contenido del fichero es una cabecera, indicando que es cada campo (de una manera muy descriptiva), seguido de un conjunto de líneas, cada una definiendo una ACL (Access Control List).</w:t>
      </w:r>
    </w:p>
    <w:p w:rsidR="00000000" w:rsidDel="00000000" w:rsidP="00000000" w:rsidRDefault="00000000" w:rsidRPr="00000000" w14:paraId="000001B6">
      <w:pPr>
        <w:rPr/>
      </w:pPr>
      <w:r w:rsidDel="00000000" w:rsidR="00000000" w:rsidRPr="00000000">
        <w:rPr>
          <w:rtl w:val="0"/>
        </w:rPr>
        <w:t xml:space="preserve">Veamos un ejemplo:</w:t>
      </w:r>
    </w:p>
    <w:tbl>
      <w:tblPr>
        <w:tblStyle w:val="Table3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z w:val="18"/>
                <w:szCs w:val="18"/>
                <w:shd w:fill="f8f8f8" w:val="clear"/>
                <w:rtl w:val="0"/>
              </w:rPr>
              <w:t xml:space="preserve">id,name,model_id:id,group_id:id,perm_read,perm_write,perm_create,perm_unlink</w:t>
              <w:br w:type="textWrapping"/>
              <w:t xml:space="preserve">acl_lista_tareas,lista_tareas.lista_default,model_lista_tareas_lista,base.group_user,</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t xml:space="preserve">En ese ejemplo se define:</w:t>
      </w:r>
    </w:p>
    <w:p w:rsidR="00000000" w:rsidDel="00000000" w:rsidP="00000000" w:rsidRDefault="00000000" w:rsidRPr="00000000" w14:paraId="000001B9">
      <w:pPr>
        <w:numPr>
          <w:ilvl w:val="0"/>
          <w:numId w:val="7"/>
        </w:numPr>
        <w:spacing w:after="0" w:afterAutospacing="0"/>
        <w:ind w:left="720" w:hanging="360"/>
        <w:rPr>
          <w:u w:val="none"/>
        </w:rPr>
      </w:pPr>
      <w:r w:rsidDel="00000000" w:rsidR="00000000" w:rsidRPr="00000000">
        <w:rPr>
          <w:rtl w:val="0"/>
        </w:rPr>
        <w:t xml:space="preserve">Una ACL con id “acl_lista_tareas”.</w:t>
      </w:r>
    </w:p>
    <w:p w:rsidR="00000000" w:rsidDel="00000000" w:rsidP="00000000" w:rsidRDefault="00000000" w:rsidRPr="00000000" w14:paraId="000001BA">
      <w:pPr>
        <w:numPr>
          <w:ilvl w:val="0"/>
          <w:numId w:val="7"/>
        </w:numPr>
        <w:spacing w:after="0" w:afterAutospacing="0" w:before="0" w:beforeAutospacing="0"/>
        <w:ind w:left="720" w:hanging="360"/>
        <w:rPr>
          <w:u w:val="none"/>
        </w:rPr>
      </w:pPr>
      <w:r w:rsidDel="00000000" w:rsidR="00000000" w:rsidRPr="00000000">
        <w:rPr>
          <w:rtl w:val="0"/>
        </w:rPr>
        <w:t xml:space="preserve">Un nombre que indique que afecta al modelo “lista_tareas.lista” (y se indica con “lista_tareas.lista_default_model”).</w:t>
      </w:r>
    </w:p>
    <w:p w:rsidR="00000000" w:rsidDel="00000000" w:rsidP="00000000" w:rsidRDefault="00000000" w:rsidRPr="00000000" w14:paraId="000001BB">
      <w:pPr>
        <w:numPr>
          <w:ilvl w:val="0"/>
          <w:numId w:val="7"/>
        </w:numPr>
        <w:spacing w:after="0" w:afterAutospacing="0" w:before="0" w:beforeAutospacing="0"/>
        <w:ind w:left="720" w:hanging="360"/>
        <w:rPr>
          <w:u w:val="none"/>
        </w:rPr>
      </w:pPr>
      <w:r w:rsidDel="00000000" w:rsidR="00000000" w:rsidRPr="00000000">
        <w:rPr>
          <w:rtl w:val="0"/>
        </w:rPr>
        <w:t xml:space="preserve">El modelo “lista_tareas.lista”, indicado por su External ID como “model_lista_tareas_lista”.</w:t>
      </w:r>
    </w:p>
    <w:p w:rsidR="00000000" w:rsidDel="00000000" w:rsidP="00000000" w:rsidRDefault="00000000" w:rsidRPr="00000000" w14:paraId="000001BC">
      <w:pPr>
        <w:numPr>
          <w:ilvl w:val="0"/>
          <w:numId w:val="7"/>
        </w:numPr>
        <w:spacing w:after="0" w:afterAutospacing="0" w:before="0" w:beforeAutospacing="0"/>
        <w:ind w:left="720" w:hanging="360"/>
        <w:rPr>
          <w:u w:val="none"/>
        </w:rPr>
      </w:pPr>
      <w:r w:rsidDel="00000000" w:rsidR="00000000" w:rsidRPr="00000000">
        <w:rPr>
          <w:rtl w:val="0"/>
        </w:rPr>
        <w:t xml:space="preserve">El grupo al que se aplica esta ACL. Indicando “base.group_user” se aplica a todos los usuarios.</w:t>
      </w:r>
    </w:p>
    <w:p w:rsidR="00000000" w:rsidDel="00000000" w:rsidP="00000000" w:rsidRDefault="00000000" w:rsidRPr="00000000" w14:paraId="000001BD">
      <w:pPr>
        <w:numPr>
          <w:ilvl w:val="0"/>
          <w:numId w:val="7"/>
        </w:numPr>
        <w:spacing w:before="0" w:beforeAutospacing="0"/>
        <w:ind w:left="720" w:hanging="360"/>
        <w:rPr>
          <w:u w:val="none"/>
        </w:rPr>
      </w:pPr>
      <w:r w:rsidDel="00000000" w:rsidR="00000000" w:rsidRPr="00000000">
        <w:rPr>
          <w:rtl w:val="0"/>
        </w:rPr>
        <w:t xml:space="preserve">Una lista de permisos (lectura, escritura, creación y borrado) donde “1” indica “permiso concedido” y “0” indica “permiso denegado”.</w:t>
      </w:r>
    </w:p>
    <w:p w:rsidR="00000000" w:rsidDel="00000000" w:rsidP="00000000" w:rsidRDefault="00000000" w:rsidRPr="00000000" w14:paraId="000001BE">
      <w:pPr>
        <w:rPr/>
      </w:pPr>
      <w:r w:rsidDel="00000000" w:rsidR="00000000" w:rsidRPr="00000000">
        <w:rPr>
          <w:rtl w:val="0"/>
        </w:rPr>
        <w:t xml:space="preserve">Si queremos definir grupos propios para la ACL, aparte de los que pueda poseer Odoo, podemos hacerlo indicando en “__manifest__.py” un fichero de definición de grupos de forma similar a esta:</w:t>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'security/groups.xml'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C0">
      <w:pPr>
        <w:rPr/>
      </w:pPr>
      <w:r w:rsidDel="00000000" w:rsidR="00000000" w:rsidRPr="00000000">
        <w:rPr>
          <w:rtl w:val="0"/>
        </w:rPr>
        <w:t xml:space="preserve">Veamos un ejemplo de definición de grupo:</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&lt;?</w:t>
            </w:r>
            <w:r w:rsidDel="00000000" w:rsidR="00000000" w:rsidRPr="00000000">
              <w:rPr>
                <w:rFonts w:ascii="Consolas" w:cs="Consolas" w:eastAsia="Consolas" w:hAnsi="Consolas"/>
                <w:color w:val="333333"/>
                <w:sz w:val="18"/>
                <w:szCs w:val="18"/>
                <w:shd w:fill="f8f8f8" w:val="clear"/>
                <w:rtl w:val="0"/>
              </w:rPr>
              <w:t xml:space="preserve">xml version=</w:t>
            </w:r>
            <w:r w:rsidDel="00000000" w:rsidR="00000000" w:rsidRPr="00000000">
              <w:rPr>
                <w:rFonts w:ascii="Consolas" w:cs="Consolas" w:eastAsia="Consolas" w:hAnsi="Consolas"/>
                <w:color w:val="dd1144"/>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 encoding=</w:t>
            </w:r>
            <w:r w:rsidDel="00000000" w:rsidR="00000000" w:rsidRPr="00000000">
              <w:rPr>
                <w:rFonts w:ascii="Consolas" w:cs="Consolas" w:eastAsia="Consolas" w:hAnsi="Consolas"/>
                <w:color w:val="dd1144"/>
                <w:sz w:val="18"/>
                <w:szCs w:val="18"/>
                <w:shd w:fill="f8f8f8" w:val="clear"/>
                <w:rtl w:val="0"/>
              </w:rPr>
              <w:t xml:space="preserve">"utf-8"</w:t>
            </w:r>
            <w:r w:rsidDel="00000000" w:rsidR="00000000" w:rsidRPr="00000000">
              <w:rPr>
                <w:rFonts w:ascii="Consolas" w:cs="Consolas" w:eastAsia="Consolas" w:hAnsi="Consolas"/>
                <w:b w:val="1"/>
                <w:color w:val="999999"/>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"grupo_bibliotecario"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"res.groups"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Bibliotecario</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"users"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 ref('base.user_admin'))]"</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Con este ejemplo, hemos creado el “grupo_bibliotecario” y lo hemos poblado añadiendo los usuarios que pertenezcan al grupo de administradores (“base.user_admin”). Para usarlo en el fichero “csv” con las ACL, simplemente deberemos indicar en el campo grupo “grupo_bibliotecario”. Más información en </w:t>
      </w:r>
      <w:hyperlink r:id="rId22">
        <w:r w:rsidDel="00000000" w:rsidR="00000000" w:rsidRPr="00000000">
          <w:rPr>
            <w:color w:val="1155cc"/>
            <w:u w:val="single"/>
            <w:rtl w:val="0"/>
          </w:rPr>
          <w:t xml:space="preserve">www.odoo.yenthevg.com/creating-security-groups-odoo/</w:t>
        </w:r>
      </w:hyperlink>
      <w:r w:rsidDel="00000000" w:rsidR="00000000" w:rsidRPr="00000000">
        <w:rPr>
          <w:rtl w:val="0"/>
        </w:rPr>
        <w:t xml:space="preserve"> y en  </w:t>
      </w:r>
      <w:hyperlink r:id="rId23">
        <w:r w:rsidDel="00000000" w:rsidR="00000000" w:rsidRPr="00000000">
          <w:rPr>
            <w:color w:val="1155cc"/>
            <w:u w:val="single"/>
            <w:rtl w:val="0"/>
          </w:rPr>
          <w:t xml:space="preserve">https://www.odoo.com/documentation/17.0/es/developer/tutorials/server_framework_101/04_securityintro.html</w:t>
        </w:r>
      </w:hyperlink>
      <w:r w:rsidDel="00000000" w:rsidR="00000000" w:rsidRPr="00000000">
        <w:rPr>
          <w:rtl w:val="0"/>
        </w:rPr>
        <w:t xml:space="preserv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numPr>
          <w:ilvl w:val="0"/>
          <w:numId w:val="20"/>
        </w:numPr>
        <w:ind w:left="432"/>
      </w:pPr>
      <w:bookmarkStart w:colFirst="0" w:colLast="0" w:name="_r3i5y0dezycf" w:id="31"/>
      <w:bookmarkEnd w:id="31"/>
      <w:r w:rsidDel="00000000" w:rsidR="00000000" w:rsidRPr="00000000">
        <w:rPr>
          <w:rtl w:val="0"/>
        </w:rPr>
        <w:t xml:space="preserve">Módulos de ejemplo con comentarios</w:t>
      </w:r>
    </w:p>
    <w:p w:rsidR="00000000" w:rsidDel="00000000" w:rsidP="00000000" w:rsidRDefault="00000000" w:rsidRPr="00000000" w14:paraId="000001C6">
      <w:pPr>
        <w:rPr/>
      </w:pPr>
      <w:r w:rsidDel="00000000" w:rsidR="00000000" w:rsidRPr="00000000">
        <w:rPr>
          <w:rtl w:val="0"/>
        </w:rPr>
        <w:t xml:space="preserve">Se pueden encontrar ejemplos de módulos de Odoo comentados con los conceptos tratados durante la unidad en </w:t>
      </w:r>
      <w:hyperlink r:id="rId24">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7">
      <w:pPr>
        <w:pStyle w:val="Heading1"/>
        <w:pageBreakBefore w:val="0"/>
        <w:numPr>
          <w:ilvl w:val="0"/>
          <w:numId w:val="20"/>
        </w:numPr>
        <w:ind w:left="432" w:right="0"/>
        <w:rPr/>
      </w:pPr>
      <w:bookmarkStart w:colFirst="0" w:colLast="0" w:name="_efwqehctkf1f" w:id="32"/>
      <w:bookmarkEnd w:id="3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C8">
      <w:pPr>
        <w:pageBreakBefore w:val="0"/>
        <w:ind w:left="432" w:firstLine="0"/>
        <w:rPr/>
      </w:pPr>
      <w:hyperlink r:id="rId25">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C9">
      <w:pPr>
        <w:pageBreakBefore w:val="0"/>
        <w:ind w:left="432" w:firstLine="0"/>
        <w:rPr/>
      </w:pPr>
      <w:hyperlink r:id="rId26">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CA">
      <w:pPr>
        <w:pageBreakBefore w:val="0"/>
        <w:ind w:left="432" w:firstLine="0"/>
        <w:rPr/>
      </w:pPr>
      <w:hyperlink r:id="rId27">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CB">
      <w:pPr>
        <w:pageBreakBefore w:val="0"/>
        <w:ind w:left="432" w:firstLine="0"/>
        <w:rPr/>
      </w:pPr>
      <w:hyperlink r:id="rId28">
        <w:r w:rsidDel="00000000" w:rsidR="00000000" w:rsidRPr="00000000">
          <w:rPr>
            <w:color w:val="1155cc"/>
            <w:u w:val="single"/>
            <w:rtl w:val="0"/>
          </w:rPr>
          <w:t xml:space="preserve">https://konodoo.com/blog/konodoo-blog-de-tecnologia-1</w:t>
        </w:r>
      </w:hyperlink>
      <w:r w:rsidDel="00000000" w:rsidR="00000000" w:rsidRPr="00000000">
        <w:rPr>
          <w:rtl w:val="0"/>
        </w:rPr>
      </w:r>
    </w:p>
    <w:p w:rsidR="00000000" w:rsidDel="00000000" w:rsidP="00000000" w:rsidRDefault="00000000" w:rsidRPr="00000000" w14:paraId="000001CC">
      <w:pPr>
        <w:pStyle w:val="Heading1"/>
        <w:pageBreakBefore w:val="0"/>
        <w:numPr>
          <w:ilvl w:val="0"/>
          <w:numId w:val="20"/>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Autores (en orden alfabético)</w:t>
      </w:r>
    </w:p>
    <w:p w:rsidR="00000000" w:rsidDel="00000000" w:rsidP="00000000" w:rsidRDefault="00000000" w:rsidRPr="00000000" w14:paraId="000001CD">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CE">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CF">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www.odoo.yenthevg.com/creating-security-groups-odoo/"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github.com/sergarb1/OdooModulosEjemplos" TargetMode="External"/><Relationship Id="rId23" Type="http://schemas.openxmlformats.org/officeDocument/2006/relationships/hyperlink" Target="https://www.odoo.com/documentation/17.0/es/developer/tutorials/server_framework_101/04_security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yperlink" Target="https://ioc.xtec.cat/materials/FP/Materials/2252_DAM/DAM_2252_M10/web/html/index.html" TargetMode="External"/><Relationship Id="rId25" Type="http://schemas.openxmlformats.org/officeDocument/2006/relationships/hyperlink" Target="https://www.odoo.com/documentation/master/" TargetMode="External"/><Relationship Id="rId28" Type="http://schemas.openxmlformats.org/officeDocument/2006/relationships/hyperlink" Target="https://konodoo.com/blog/konodoo-blog-de-tecnologia-1" TargetMode="External"/><Relationship Id="rId27" Type="http://schemas.openxmlformats.org/officeDocument/2006/relationships/hyperlink" Target="https://castilloinformatica.es/wiki/index.php?title=Odoo"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