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drawing>
          <wp:inline distT="0" distB="0" distL="0" distR="0">
            <wp:extent cx="1809750" cy="723900"/>
            <wp:effectExtent t="0" r="0" b="0" l="0"/>
            <wp:docPr id="1" name="logo" descr="GRID Property Ventures logo" title="GRID Property Ven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Poppins" w:cs="Poppins" w:eastAsia="Poppins" w:hAnsi="Poppins"/>
          <w:b/>
          <w:bCs/>
          <w:color w:val="8E5A3B"/>
          <w:spacing w:val="40"/>
          <w:sz w:val="20"/>
          <w:szCs w:val="20"/>
        </w:rPr>
        <w:t xml:space="preserve">BUSINESS REQUIREMENTS</w:t>
      </w:r>
    </w:p>
    <w:p>
      <w:pPr>
        <w:spacing w:after="160"/>
      </w:pPr>
      <w:r>
        <w:rPr>
          <w:rFonts w:ascii="Poppins" w:cs="Poppins" w:eastAsia="Poppins" w:hAnsi="Poppins"/>
          <w:b/>
          <w:bCs/>
          <w:color w:val="1C335E"/>
          <w:sz w:val="60"/>
          <w:szCs w:val="60"/>
        </w:rPr>
        <w:t xml:space="preserve">Business Requirements Document</w:t>
      </w:r>
    </w:p>
    <w:p>
      <w:pPr>
        <w:pBdr>
          <w:bottom w:val="single" w:color="BE8562" w:sz="24" w:space="12"/>
        </w:pBdr>
        <w:spacing w:after="300"/>
      </w:pPr>
      <w:r>
        <w:rPr>
          <w:color w:val="4A5873"/>
          <w:sz w:val="28"/>
          <w:szCs w:val="28"/>
        </w:rPr>
        <w:t xml:space="preserve">Business Site Analysis (BSA) v3 — objectives, scope, requirements and acceptance criteria</w:t>
      </w:r>
    </w:p>
    <w:p>
      <w:pPr>
        <w:spacing w:after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2D2D2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4A5873"/>
                <w:sz w:val="17"/>
                <w:szCs w:val="17"/>
              </w:rPr>
              <w:t xml:space="preserve">DOCUMENT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D2D2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color w:val="0E192F"/>
                <w:sz w:val="21"/>
                <w:szCs w:val="21"/>
              </w:rPr>
              <w:t xml:space="preserve">Business Requirements Document (BRD)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2D2D2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4A5873"/>
                <w:sz w:val="17"/>
                <w:szCs w:val="17"/>
              </w:rPr>
              <w:t xml:space="preserve">VERSION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D2D2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color w:val="0E192F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2D2D2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4A5873"/>
                <w:sz w:val="17"/>
                <w:szCs w:val="17"/>
              </w:rPr>
              <w:t xml:space="preserve">DATE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D2D2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color w:val="0E192F"/>
                <w:sz w:val="21"/>
                <w:szCs w:val="21"/>
              </w:rPr>
              <w:t xml:space="preserve">1 October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2D2D2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4A5873"/>
                <w:sz w:val="17"/>
                <w:szCs w:val="17"/>
              </w:rPr>
              <w:t xml:space="preserve">OWNER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D2D2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color w:val="0E192F"/>
                <w:sz w:val="21"/>
                <w:szCs w:val="21"/>
              </w:rPr>
              <w:t xml:space="preserve">Grid Property Ventures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2D2D2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4A5873"/>
                <w:sz w:val="17"/>
                <w:szCs w:val="17"/>
              </w:rPr>
              <w:t xml:space="preserve">AUDIENCE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D2D2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color w:val="0E192F"/>
                <w:sz w:val="21"/>
                <w:szCs w:val="21"/>
              </w:rPr>
              <w:t xml:space="preserve">Management, brokerage, product and development teams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2D2D2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4A5873"/>
                <w:sz w:val="17"/>
                <w:szCs w:val="17"/>
              </w:rPr>
              <w:t xml:space="preserve">STATUS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single" w:color="D2D2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color w:val="0E192F"/>
                <w:sz w:val="21"/>
                <w:szCs w:val="21"/>
              </w:rPr>
              <w:t xml:space="preserve">For review and approval</w:t>
            </w:r>
          </w:p>
        </w:tc>
      </w:tr>
    </w:tbl>
    <w:p>
      <w:pPr>
        <w:spacing w:after="500"/>
      </w:pPr>
    </w:p>
    <w:p>
      <w:r>
        <w:rPr>
          <w:i/>
          <w:iCs/>
          <w:color w:val="4A5873"/>
          <w:sz w:val="17"/>
          <w:szCs w:val="17"/>
        </w:rPr>
        <w:t xml:space="preserve">Business Site Analysis (BSA) is decision support for licensed real estate practitioners (RA 9646). It does not appraise property or give price opinions; the broker still advises the client and closes the deal.</w:t>
      </w:r>
    </w:p>
    <w:p>
      <w:r>
        <w:br w:type="page"/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1C335E"/>
          <w:sz w:val="34"/>
          <w:szCs w:val="34"/>
        </w:rPr>
        <w:t xml:space="preserve">Contents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1. Document control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2. Executive summary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3. Business background and problem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4. Objectives and success measures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5. Scope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6. Stakeholders and users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7. Business process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8. Functional requirements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9. Business rules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10. Non-functional requirements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11. Data requirements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12. Compliance and guardrails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13. Assumptions, constraints and dependencies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14. Risks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15. Release plan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16. Acceptance criteria (UAT)</w:t>
      </w:r>
    </w:p>
    <w:p>
      <w:pPr>
        <w:spacing w:after="110"/>
      </w:pPr>
      <w:r>
        <w:rPr>
          <w:color w:val="0E192F"/>
          <w:sz w:val="23"/>
          <w:szCs w:val="23"/>
        </w:rPr>
        <w:t xml:space="preserve">17. Glossary</w:t>
      </w:r>
    </w:p>
    <w:p>
      <w:pPr>
        <w:spacing w:before="200"/>
      </w:pPr>
      <w:r>
        <w:rPr>
          <w:i/>
          <w:iCs/>
          <w:color w:val="4A5873"/>
          <w:sz w:val="18"/>
          <w:szCs w:val="18"/>
        </w:rPr>
        <w:t xml:space="preserve">Tip: in Word, View → Navigation Pane lists every heading with a link.</w:t>
      </w:r>
    </w:p>
    <w:p>
      <w:pPr>
        <w:pStyle w:val="Heading1"/>
        <w:pageBreakBefore/>
      </w:pPr>
      <w:r>
        <w:t xml:space="preserve">1. 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625"/>
        <w:gridCol w:w="3159"/>
        <w:gridCol w:w="3159"/>
      </w:tblGrid>
      <w:tr>
        <w:trPr>
          <w:tblHeader/>
        </w:trPr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2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15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15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62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October 2026</w:t>
            </w:r>
          </w:p>
        </w:tc>
        <w:tc>
          <w:tcPr>
            <w:tcW w:type="dxa" w:w="315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BSA Agency (for Grid Property Ventures)</w:t>
            </w:r>
          </w:p>
        </w:tc>
        <w:tc>
          <w:tcPr>
            <w:tcW w:type="dxa" w:w="315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First issue — reflects the BSA v3 build at handoff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Approvals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257"/>
        <w:gridCol w:w="1805"/>
        <w:gridCol w:w="1354"/>
      </w:tblGrid>
      <w:tr>
        <w:trPr>
          <w:tblHeader/>
        </w:trPr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5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135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Business owner (Grid Property Ventures)</w:t>
            </w:r>
          </w:p>
        </w:tc>
        <w:tc>
          <w:tcPr>
            <w:tcW w:type="dxa" w:w="225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5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Head of Brokerage / Domain lead</w:t>
            </w:r>
          </w:p>
        </w:tc>
        <w:tc>
          <w:tcPr>
            <w:tcW w:type="dxa" w:w="225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5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Development lead</w:t>
            </w:r>
          </w:p>
        </w:tc>
        <w:tc>
          <w:tcPr>
            <w:tcW w:type="dxa" w:w="225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0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5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20"/>
      </w:pPr>
      <w:r>
        <w:t xml:space="preserve">Priorities use MoSCoW: </w:t>
      </w:r>
      <w:r>
        <w:rPr>
          <w:b/>
          <w:bCs/>
        </w:rPr>
        <w:t xml:space="preserve">Must</w:t>
      </w:r>
      <w:r>
        <w:t xml:space="preserve">, </w:t>
      </w:r>
      <w:r>
        <w:rPr>
          <w:b/>
          <w:bCs/>
        </w:rPr>
        <w:t xml:space="preserve">Should</w:t>
      </w:r>
      <w:r>
        <w:t xml:space="preserve">, </w:t>
      </w:r>
      <w:r>
        <w:rPr>
          <w:b/>
          <w:bCs/>
        </w:rPr>
        <w:t xml:space="preserve">Could</w:t>
      </w:r>
      <w:r>
        <w:t xml:space="preserve">, </w:t>
      </w:r>
      <w:r>
        <w:rPr>
          <w:b/>
          <w:bCs/>
        </w:rPr>
        <w:t xml:space="preserve">Won’t (this release)</w:t>
      </w:r>
      <w:r>
        <w:t xml:space="preserve">. Status shows whether the requirement is </w:t>
      </w:r>
      <w:r>
        <w:rPr>
          <w:b/>
          <w:bCs/>
        </w:rPr>
        <w:t xml:space="preserve">Delivered</w:t>
      </w:r>
      <w:r>
        <w:t xml:space="preserve"> in the v3 build, </w:t>
      </w:r>
      <w:r>
        <w:rPr>
          <w:b/>
          <w:bCs/>
        </w:rPr>
        <w:t xml:space="preserve">Partial</w:t>
      </w:r>
      <w:r>
        <w:t xml:space="preserve">, or </w:t>
      </w:r>
      <w:r>
        <w:rPr>
          <w:b/>
          <w:bCs/>
        </w:rPr>
        <w:t xml:space="preserve">Planned</w:t>
      </w:r>
      <w:r>
        <w:t xml:space="preserve">.</w:t>
      </w:r>
    </w:p>
    <w:p>
      <w:pPr>
        <w:pStyle w:val="Heading1"/>
        <w:pageBreakBefore/>
      </w:pPr>
      <w:r>
        <w:t xml:space="preserve">2. Executive summary</w:t>
      </w:r>
    </w:p>
    <w:p>
      <w:pPr>
        <w:spacing w:after="200"/>
      </w:pPr>
      <w:r>
        <w:rPr>
          <w:color w:val="4A5873"/>
          <w:sz w:val="24"/>
          <w:szCs w:val="24"/>
        </w:rPr>
        <w:t xml:space="preserve">Business Site Analysis (BSA) helps Filipino brokers, franchisors and franchisees decide — quickly and defensibly — whether a candidate location is worth opening.</w:t>
      </w:r>
    </w:p>
    <w:p>
      <w:pPr>
        <w:spacing w:after="120"/>
      </w:pPr>
      <w:r>
        <w:t xml:space="preserve">Site selection for franchise and retail businesses in the Philippines is still largely judgement-driven: there is no MLS, lease information is fragmented, and expansion teams often discover cannibalisation of their own branches only after opening. BSA brings the evidence together in one workflow: screen the right brands for a budget, enter up to five candidate sites, and receive for each site a clear call — </w:t>
      </w:r>
      <w:r>
        <w:rPr>
          <w:b/>
          <w:bCs/>
        </w:rPr>
        <w:t xml:space="preserve">Proceed</w:t>
      </w:r>
      <w:r>
        <w:t xml:space="preserve">, </w:t>
      </w:r>
      <w:r>
        <w:rPr>
          <w:b/>
          <w:bCs/>
        </w:rPr>
        <w:t xml:space="preserve">Proceed with caution</w:t>
      </w:r>
      <w:r>
        <w:t xml:space="preserve"> or </w:t>
      </w:r>
      <w:r>
        <w:rPr>
          <w:b/>
          <w:bCs/>
        </w:rPr>
        <w:t xml:space="preserve">No-Go</w:t>
      </w:r>
      <w:r>
        <w:t xml:space="preserve"> — with the reasons, the figures behind them and how much each figure can be trusted.</w:t>
      </w:r>
    </w:p>
    <w:p>
      <w:pPr>
        <w:spacing w:after="120"/>
      </w:pPr>
      <w:r>
        <w:t xml:space="preserve">BSA is positioned as </w:t>
      </w:r>
      <w:r>
        <w:rPr>
          <w:b/>
          <w:bCs/>
        </w:rPr>
        <w:t xml:space="preserve">decision support for the licensed broker</w:t>
      </w:r>
      <w:r>
        <w:t xml:space="preserve"> (RA 9646). It sharpens the broker’s analysis and client conversation; it does not appraise property, give price opinions or replace the broker.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C335E" w:sz="24"/>
              <w:bottom w:val="none" w:color="FFFFFF" w:sz="0"/>
              <w:right w:val="none" w:color="FFFFFF" w:sz="0"/>
            </w:tcBorders>
            <w:shd w:fill="F1F4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C335E"/>
                <w:sz w:val="21"/>
                <w:szCs w:val="21"/>
              </w:rPr>
              <w:t xml:space="preserve">What v3 delivers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Franchise Screening across the brand catalogue · 4-step intake with map pinning · automated analysis (Territory Guard, Lease Benchmark, Daypart &amp; Seasonality, White-Space, category modules) · deterministic recommendation · Site Dashboard · Final Report · branded site PDF and full run report · Truth Layer on every figure · dark and light themes · mobile-ready.</w:t>
            </w:r>
          </w:p>
        </w:tc>
      </w:tr>
    </w:tbl>
    <w:p>
      <w:pPr>
        <w:pStyle w:val="Heading1"/>
        <w:pageBreakBefore/>
      </w:pPr>
      <w:r>
        <w:t xml:space="preserve">3. Business background and problem</w:t>
      </w:r>
    </w:p>
    <w:p>
      <w:pPr>
        <w:pStyle w:val="Heading2"/>
      </w:pPr>
      <w:r>
        <w:t xml:space="preserve">3.1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Property Ventures supports franchise developers, brands and investors in finding and securing commercial sites.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BSA v3 is the next version of Grid’s Business Site Locator, renamed Business Site Analysis.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target users work across Metro Manila first, expanding to CALABARZON (Cavite, Batangas) and Davao.</w:t>
      </w:r>
    </w:p>
    <w:p>
      <w:pPr>
        <w:pStyle w:val="Heading2"/>
      </w:pPr>
      <w:r>
        <w:t xml:space="preserve">3.2 Problems to solve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rPr>
          <w:tblHeader/>
        </w:trPr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496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 today</w:t>
            </w:r>
          </w:p>
        </w:tc>
      </w:tr>
      <w:tr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Site decisions rely on intuition and scattered spreadsheets</w:t>
            </w:r>
          </w:p>
        </w:tc>
        <w:tc>
          <w:tcPr>
            <w:tcW w:type="dxa" w:w="496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Slow, inconsistent decisions; hard to defend to a client or franchisor.</w:t>
            </w:r>
          </w:p>
        </w:tc>
      </w:tr>
      <w:tr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Cannibalisation of existing branches is not measured up front</w:t>
            </w:r>
          </w:p>
        </w:tc>
        <w:tc>
          <w:tcPr>
            <w:tcW w:type="dxa" w:w="496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 branches redistribute existing sales instead of adding them.</w:t>
            </w:r>
          </w:p>
        </w:tc>
      </w:tr>
      <w:tr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Lease information is fragmented (no MLS)</w:t>
            </w:r>
          </w:p>
        </w:tc>
        <w:tc>
          <w:tcPr>
            <w:tcW w:type="dxa" w:w="496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Franchisees sign multi-year leases without knowing where the rent sits in the corridor.</w:t>
            </w:r>
          </w:p>
        </w:tc>
      </w:tr>
      <w:tr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Demand timing is ignored</w:t>
            </w:r>
          </w:p>
        </w:tc>
        <w:tc>
          <w:tcPr>
            <w:tcW w:type="dxa" w:w="496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Formats open where traffic does not match their peak hours (e.g. a café in an evening-only catchment).</w:t>
            </w:r>
          </w:p>
        </w:tc>
      </w:tr>
      <w:tr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Brands are shortlisted without checking budget and space fit</w:t>
            </w:r>
          </w:p>
        </w:tc>
        <w:tc>
          <w:tcPr>
            <w:tcW w:type="dxa" w:w="496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Time wasted analysing sites for brands the client cannot afford or fit.</w:t>
            </w:r>
          </w:p>
        </w:tc>
      </w:tr>
      <w:tr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Figures are presented without provenance</w:t>
            </w:r>
          </w:p>
        </w:tc>
        <w:tc>
          <w:tcPr>
            <w:tcW w:type="dxa" w:w="496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Clients cannot tell a measured fact from an estimate; trust suffers.</w:t>
            </w:r>
          </w:p>
        </w:tc>
      </w:tr>
    </w:tbl>
    <w:p>
      <w:pPr>
        <w:pStyle w:val="Heading1"/>
        <w:pageBreakBefore/>
      </w:pPr>
      <w:r>
        <w:t xml:space="preserve">4. Objectives and success measures</w:t>
      </w:r>
    </w:p>
    <w:p>
      <w:pPr>
        <w:spacing w:after="120"/>
      </w:pPr>
      <w:r>
        <w:t xml:space="preserve">Targets are proposed starting points for Grid to confirm.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610"/>
        <w:gridCol w:w="2889"/>
      </w:tblGrid>
      <w:tr>
        <w:trPr>
          <w:tblHeader/>
        </w:trPr>
        <w:tc>
          <w:tcPr>
            <w:tcW w:type="dxa" w:w="252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288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Proposed target</w:t>
            </w:r>
          </w:p>
        </w:tc>
      </w:tr>
      <w:tr>
        <w:tc>
          <w:tcPr>
            <w:tcW w:type="dxa" w:w="252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Faster site decisions</w:t>
            </w:r>
          </w:p>
        </w:tc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Time from intake to a site recommendation</w:t>
            </w:r>
          </w:p>
        </w:tc>
        <w:tc>
          <w:tcPr>
            <w:tcW w:type="dxa" w:w="288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Under 10 minutes for up to 5 sites (analysis itself about 1–2 minutes)</w:t>
            </w:r>
          </w:p>
        </w:tc>
      </w:tr>
      <w:tr>
        <w:tc>
          <w:tcPr>
            <w:tcW w:type="dxa" w:w="252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Better decisions</w:t>
            </w:r>
          </w:p>
        </w:tc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 of opened sites that met plan in year 1 (tracked by Grid)</w:t>
            </w:r>
          </w:p>
        </w:tc>
        <w:tc>
          <w:tcPr>
            <w:tcW w:type="dxa" w:w="288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Baseline in year 1, then improve</w:t>
            </w:r>
          </w:p>
        </w:tc>
      </w:tr>
      <w:tr>
        <w:tc>
          <w:tcPr>
            <w:tcW w:type="dxa" w:w="252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Avoid cannibalisation</w:t>
            </w:r>
          </w:p>
        </w:tc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Sites flagged “Redistributes” that were not opened</w:t>
            </w:r>
          </w:p>
        </w:tc>
        <w:tc>
          <w:tcPr>
            <w:tcW w:type="dxa" w:w="288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Tracked per quarter</w:t>
            </w:r>
          </w:p>
        </w:tc>
      </w:tr>
      <w:tr>
        <w:tc>
          <w:tcPr>
            <w:tcW w:type="dxa" w:w="252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Defensible advice</w:t>
            </w:r>
          </w:p>
        </w:tc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 of report figures with a Truth Layer label</w:t>
            </w:r>
          </w:p>
        </w:tc>
        <w:tc>
          <w:tcPr>
            <w:tcW w:type="dxa" w:w="288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52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Adoption</w:t>
            </w:r>
          </w:p>
        </w:tc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Active brokers / franchise clients per month</w:t>
            </w:r>
          </w:p>
        </w:tc>
        <w:tc>
          <w:tcPr>
            <w:tcW w:type="dxa" w:w="288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 by Grid at launch</w:t>
            </w:r>
          </w:p>
        </w:tc>
      </w:tr>
      <w:tr>
        <w:tc>
          <w:tcPr>
            <w:tcW w:type="dxa" w:w="252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Client-ready output</w:t>
            </w:r>
          </w:p>
        </w:tc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Reports shared with clients (PDF / run report)</w:t>
            </w:r>
          </w:p>
        </w:tc>
        <w:tc>
          <w:tcPr>
            <w:tcW w:type="dxa" w:w="288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Tracked per month</w:t>
            </w:r>
          </w:p>
        </w:tc>
      </w:tr>
    </w:tbl>
    <w:p>
      <w:pPr>
        <w:pStyle w:val="Heading1"/>
        <w:pageBreakBefore/>
      </w:pPr>
      <w:r>
        <w:t xml:space="preserve">5. Scope</w:t>
      </w:r>
    </w:p>
    <w:p>
      <w:pPr>
        <w:pStyle w:val="Heading2"/>
      </w:pPr>
      <w:r>
        <w:t xml:space="preserve">5.1 In scope (v3)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accounts, roles and secure sign-in.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Franchise Screening by budget, floor area, vertical and other filters.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Intake: business vertical and brand, brief (sections A–K), existing outlets, up to five candidate sites pinned on a 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analysis per site and a deterministic Proceed / Proceed with caution / No-Go recommendation.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Dashboard, per-site module tabs, Final Report, site PDF, full run report (print to PDF).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 data for Metro Manila; loaders for Davao, Cavite and Batangas.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and light themes; phone, tablet and desktop layouts.</w:t>
      </w:r>
    </w:p>
    <w:p>
      <w:pPr>
        <w:pStyle w:val="Heading2"/>
      </w:pPr>
      <w:r>
        <w:t xml:space="preserve">5.2 Out of scope (this release)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Property valuation, appraisal or price recommendations (excluded by policy — RA 9646).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Listing marketplace, transactions, payments or e-signatures.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mobile apps (the web app is responsive).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AI-generated narratives (removed in favour of the deterministic recommendation).</w:t>
      </w:r>
    </w:p>
    <w:p>
      <w:pPr>
        <w:pStyle w:val="Heading2"/>
      </w:pPr>
      <w:r>
        <w:t xml:space="preserve">5.3 Next release candidates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Cavite and Batangas reference data 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Maps JavaScript API as the map provider (plan in the Technical Support Document).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security hardening; PRC licence number on broker profiles.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Travel-time trade areas (isochrones); semantic search over the methodology corpus.</w:t>
      </w:r>
    </w:p>
    <w:p>
      <w:pPr>
        <w:pStyle w:val="Heading1"/>
        <w:pageBreakBefore/>
      </w:pPr>
      <w:r>
        <w:t xml:space="preserve">6. Stakeholders and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3069"/>
        <w:gridCol w:w="3610"/>
      </w:tblGrid>
      <w:tr>
        <w:trPr>
          <w:tblHeader/>
        </w:trPr>
        <w:tc>
          <w:tcPr>
            <w:tcW w:type="dxa" w:w="234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06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Goals</w:t>
            </w:r>
          </w:p>
        </w:tc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BSA gives them</w:t>
            </w:r>
          </w:p>
        </w:tc>
      </w:tr>
      <w:tr>
        <w:tc>
          <w:tcPr>
            <w:tcW w:type="dxa" w:w="234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Broker / franchise developer</w:t>
            </w:r>
            <w:r>
              <w:rPr>
                <w:sz w:val="19"/>
                <w:szCs w:val="19"/>
              </w:rPr>
              <w:t xml:space="preserve"> (licensed, RA 9646)</w:t>
            </w:r>
          </w:p>
        </w:tc>
        <w:tc>
          <w:tcPr>
            <w:tcW w:type="dxa" w:w="306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Advise clients on where to open; win mandates; defend recommendations.</w:t>
            </w:r>
          </w:p>
        </w:tc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Fast, evidence-backed site calls; client-ready PDFs with clear provenance.</w:t>
            </w:r>
          </w:p>
        </w:tc>
      </w:tr>
      <w:tr>
        <w:tc>
          <w:tcPr>
            <w:tcW w:type="dxa" w:w="234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Franchisor expansion team</w:t>
            </w:r>
          </w:p>
        </w:tc>
        <w:tc>
          <w:tcPr>
            <w:tcW w:type="dxa" w:w="306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Grow the network without cannibalising existing branches.</w:t>
            </w:r>
          </w:p>
        </w:tc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Territory Guard overlap and cannibalisation; White-Space alternatives.</w:t>
            </w:r>
          </w:p>
        </w:tc>
      </w:tr>
      <w:tr>
        <w:tc>
          <w:tcPr>
            <w:tcW w:type="dxa" w:w="234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Franchisee / independent operator</w:t>
            </w:r>
          </w:p>
        </w:tc>
        <w:tc>
          <w:tcPr>
            <w:tcW w:type="dxa" w:w="306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Pick an affordable brand and a site that will work.</w:t>
            </w:r>
          </w:p>
        </w:tc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Franchise Screening by budget and space; plain-language recommendation.</w:t>
            </w:r>
          </w:p>
        </w:tc>
      </w:tr>
      <w:tr>
        <w:tc>
          <w:tcPr>
            <w:tcW w:type="dxa" w:w="234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Grid analyst / admin</w:t>
            </w:r>
          </w:p>
        </w:tc>
        <w:tc>
          <w:tcPr>
            <w:tcW w:type="dxa" w:w="306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Maintain data quality and support users.</w:t>
            </w:r>
          </w:p>
        </w:tc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Staff access to all runs, data statistics, re-run tools.</w:t>
            </w:r>
          </w:p>
        </w:tc>
      </w:tr>
      <w:tr>
        <w:tc>
          <w:tcPr>
            <w:tcW w:type="dxa" w:w="234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Grid management</w:t>
            </w:r>
          </w:p>
        </w:tc>
        <w:tc>
          <w:tcPr>
            <w:tcW w:type="dxa" w:w="306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Differentiate Grid’s advisory service.</w:t>
            </w:r>
          </w:p>
        </w:tc>
        <w:tc>
          <w:tcPr>
            <w:tcW w:type="dxa" w:w="361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branded, repeatable analysis product.</w:t>
            </w:r>
          </w:p>
        </w:tc>
      </w:tr>
    </w:tbl>
    <w:p>
      <w:pPr>
        <w:pStyle w:val="Heading1"/>
        <w:pageBreakBefore/>
      </w:pPr>
      <w:r>
        <w:t xml:space="preserve">7. Business process</w:t>
      </w:r>
    </w:p>
    <w:p>
      <w:pPr>
        <w:pStyle w:val="Heading2"/>
      </w:pPr>
      <w:r>
        <w:t xml:space="preserve">7.1 As-is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Client names a brand and a few candidate locations.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Broker visits sites, gathers rent quotes informally, checks competitors by eye.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Analysis is assembled in spreadsheets and slides; figures have mixed provenance.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Recommendation is presented verbally or in a deck, days or weeks later.</w:t>
      </w:r>
    </w:p>
    <w:p>
      <w:pPr>
        <w:pStyle w:val="Heading2"/>
      </w:pPr>
      <w:r>
        <w:t xml:space="preserve">7.2 To-be with BSA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33675"/>
            <wp:effectExtent t="0" r="0" b="0" l="0"/>
            <wp:docPr id="1" name="Figure 1 — To-be user journey" descr="Figure 1 — To-be user journey" title="Figure 1 — To-be user jour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873"/>
          <w:sz w:val="18"/>
          <w:szCs w:val="18"/>
        </w:rPr>
        <w:t xml:space="preserve">Figure 1 — To-be user journey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Screen brands that fit the client’s budget and space.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Enter the intake and pin up to five candidate sites (about 10 minutes).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BSA analyses every site automatically (about 1–2 minutes).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Review the Site Dashboard and each site’s Final Report; save asking rents as quotes come in.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Share the branded site PDF or full run report; the broker advises and closes the deal.</w:t>
      </w:r>
    </w:p>
    <w:p>
      <w:pPr>
        <w:pStyle w:val="Heading1"/>
        <w:pageBreakBefore/>
      </w:pPr>
      <w:r>
        <w:t xml:space="preserve">8. Functional requirements</w:t>
      </w:r>
    </w:p>
    <w:p>
      <w:pPr>
        <w:pStyle w:val="Heading2"/>
      </w:pPr>
      <w:r>
        <w:t xml:space="preserve">8.1 Accounts and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5686"/>
        <w:gridCol w:w="1083"/>
        <w:gridCol w:w="1445"/>
      </w:tblGrid>
      <w:tr>
        <w:trPr>
          <w:tblHeader/>
        </w:trP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BR-01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Users can register and sign in with a username/email and password (minimum 10 characters).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BR-02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Roles: admin, analyst (Grid staff), broker, franchisor; staff see all runs, others only their own.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BR-03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Sessions end on logout, password change or role change on every device.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BR-04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Repeated failed logins are throttled.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BR-05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Brands a user adds are private to that user (and Grid staff).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BR-06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Settings: change password, replay the guided tour, choose appearance (dark / light / match device).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BR-07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Broker profile shows PRC licence number.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Could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</w:tbl>
    <w:p>
      <w:pPr>
        <w:pStyle w:val="Heading2"/>
      </w:pPr>
      <w:r>
        <w:t xml:space="preserve">8.2 Franchise Screening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5686"/>
        <w:gridCol w:w="1083"/>
        <w:gridCol w:w="1445"/>
      </w:tblGrid>
      <w:tr>
        <w:trPr>
          <w:tblHeader/>
        </w:trP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BR-10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Filter the brand catalogue by budget, floor area, vertical, source, capital tier and Truth Layer; search by brand name with suggestions.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BR-11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Show each brand’s investment range, franchise fee, minimum space, payback and fit score, with its Truth Layer.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BR-12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Flag brands out of reach for the budget or space; option to hide them.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BR-13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Start an intake with a chosen brand pre-selected.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</w:tbl>
    <w:p>
      <w:pPr>
        <w:pStyle w:val="Heading2"/>
      </w:pPr>
      <w:r>
        <w:t xml:space="preserve">8.3 Intake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5686"/>
        <w:gridCol w:w="1083"/>
        <w:gridCol w:w="1445"/>
      </w:tblGrid>
      <w:tr>
        <w:trPr>
          <w:tblHeader/>
        </w:trP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BR-20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Four steps: business vertical and brand (or independent business + comparable brand), brief, existing outlets, candidate sites.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BR-21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Brief must be at least 80% complete before analysis; show exactly which sections are missing.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BR-22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Up to five candidate sites per run; each pinned on a map (address is a label).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BR-23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Existing outlets can be typed in or uploaded by CSV.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BR-24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Franchise requirement templates can prefill the brief.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Could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BR-25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 &amp; rerun creates a new version of the intake and keeps history.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BR-26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 scenarios can fill the intake for training.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Could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</w:tbl>
    <w:p>
      <w:pPr>
        <w:pStyle w:val="Heading2"/>
      </w:pPr>
      <w:r>
        <w:t xml:space="preserve">8.4 Analysis and recommendation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5686"/>
        <w:gridCol w:w="1083"/>
        <w:gridCol w:w="1445"/>
      </w:tblGrid>
      <w:tr>
        <w:trPr>
          <w:tblHeader/>
        </w:trP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BR-30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Analyse each site for Site Fit, Territory Guard, Lease Benchmark, Daypart &amp; Seasonality and White-Space; add Mall, Healthcare, Informal competition and Land &amp; Traffic where the vertical needs them.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BR-31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Combine module scores into a weighted 0–100 composite and a band (Proceed / Proceed with caution / No-Go).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BR-32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recommendation must be deterministic and traceable to module findings — no AI-invented figures.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BR-33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Show run confidence (High / Medium / Low) from the quality of the evidence.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BR-34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If data is missing, say so (“— Not enough data”), never show a fabricated zero.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BR-35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Analysis continues if the user leaves the page; unfinished runs can be continued; failed modules are reported per site.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BR-36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Users can re-run an analysis after data updates.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</w:tbl>
    <w:p>
      <w:pPr>
        <w:pStyle w:val="Heading2"/>
      </w:pPr>
      <w:r>
        <w:t xml:space="preserve">8.5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5686"/>
        <w:gridCol w:w="1083"/>
        <w:gridCol w:w="1445"/>
      </w:tblGrid>
      <w:tr>
        <w:trPr>
          <w:tblHeader/>
        </w:trP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BR-40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Site Dashboard: list of runs with search, brand filter and results per run.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BR-41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 view: verdict strip (top site + counts), ranked shortlist, Truth Layer mix, alerts, version history.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BR-42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Site page with Territory Guard, Lease Benchmark, Daypart Demand, White-Space tabs and a Final Report.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BR-43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Final Report: recommendation, composite, rank, confidence, “what drove this call” with figures, four module summaries.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BR-44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Lease Benchmark: user enters an asking rent and sees where it sits among comparable leases; saving it updates the site score.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BR-45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Maps show the site, catchment, own outlets and competitors by type, with a legend.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</w:tbl>
    <w:p>
      <w:pPr>
        <w:pStyle w:val="Heading2"/>
      </w:pPr>
      <w:r>
        <w:t xml:space="preserve">8.6 Reports and sharing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5686"/>
        <w:gridCol w:w="1083"/>
        <w:gridCol w:w="1445"/>
      </w:tblGrid>
      <w:tr>
        <w:trPr>
          <w:tblHeader/>
        </w:trP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BR-50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Export a branded site PDF that contains the same data as the Final Report screen.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BR-51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Produce a full run report for all sites (nine sections + scorecards) with optional client cover details, printable to PDF.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BR-52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 exported figure keeps its Truth Layer and every report carries the RA 9646 notice.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</w:tbl>
    <w:p>
      <w:pPr>
        <w:pStyle w:val="Heading2"/>
      </w:pPr>
      <w:r>
        <w:t xml:space="preserve">8.7 Data and administration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5686"/>
        <w:gridCol w:w="1083"/>
        <w:gridCol w:w="1445"/>
      </w:tblGrid>
      <w:tr>
        <w:trPr>
          <w:tblHeader/>
        </w:trP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BR-60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Reference data (POIs, boundaries, demographics, zonal, lease comps, malls, traffic) can be loaded per region and refreshed safely.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 (NCR) / Partial (Cavite, Batangas)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BR-61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Staff can view data statistics and reconcile scores.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BR-62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Sensitive actions are written to an audit log.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81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BR-63</w:t>
            </w:r>
          </w:p>
        </w:tc>
        <w:tc>
          <w:tcPr>
            <w:tcW w:type="dxa" w:w="56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Maps use Google Maps.</w:t>
            </w:r>
          </w:p>
        </w:tc>
        <w:tc>
          <w:tcPr>
            <w:tcW w:type="dxa" w:w="108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44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</w:tbl>
    <w:p>
      <w:pPr>
        <w:pStyle w:val="Heading1"/>
        <w:pageBreakBefore/>
      </w:pPr>
      <w:r>
        <w:t xml:space="preserve">9.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8304"/>
      </w:tblGrid>
      <w:tr>
        <w:trPr>
          <w:tblHeader/>
        </w:trPr>
        <w:tc>
          <w:tcPr>
            <w:tcW w:type="dxa" w:w="72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30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72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830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run has 1–5 candidate sites. The brief must be ≥ 80% complete.</w:t>
            </w:r>
          </w:p>
        </w:tc>
      </w:tr>
      <w:tr>
        <w:tc>
          <w:tcPr>
            <w:tcW w:type="dxa" w:w="72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R2</w:t>
            </w:r>
          </w:p>
        </w:tc>
        <w:tc>
          <w:tcPr>
            <w:tcW w:type="dxa" w:w="830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Composite weights: Site Fit 30% · Territory 25% · Lease 20% · Daypart 10% · Competition 10% · Land &amp; Traffic 5%, renormalised over criteria that scored.</w:t>
            </w:r>
          </w:p>
        </w:tc>
      </w:tr>
      <w:tr>
        <w:tc>
          <w:tcPr>
            <w:tcW w:type="dxa" w:w="72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R3</w:t>
            </w:r>
          </w:p>
        </w:tc>
        <w:tc>
          <w:tcPr>
            <w:tcW w:type="dxa" w:w="830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Bands: Proceed ≥ 65; Proceed with caution ≥ 45; No-Go below 45. Capped at 64 when demand (Site Fit) cannot be scored.</w:t>
            </w:r>
          </w:p>
        </w:tc>
      </w:tr>
      <w:tr>
        <w:tc>
          <w:tcPr>
            <w:tcW w:type="dxa" w:w="72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R4</w:t>
            </w:r>
          </w:p>
        </w:tc>
        <w:tc>
          <w:tcPr>
            <w:tcW w:type="dxa" w:w="830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Lease counts in the score only after the user saves an asking rent.</w:t>
            </w:r>
          </w:p>
        </w:tc>
      </w:tr>
      <w:tr>
        <w:tc>
          <w:tcPr>
            <w:tcW w:type="dxa" w:w="72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R5</w:t>
            </w:r>
          </w:p>
        </w:tc>
        <w:tc>
          <w:tcPr>
            <w:tcW w:type="dxa" w:w="830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Rent is described by its position against comparable leases only — never as cheap, expensive, good or bad.</w:t>
            </w:r>
          </w:p>
        </w:tc>
      </w:tr>
      <w:tr>
        <w:tc>
          <w:tcPr>
            <w:tcW w:type="dxa" w:w="72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R6</w:t>
            </w:r>
          </w:p>
        </w:tc>
        <w:tc>
          <w:tcPr>
            <w:tcW w:type="dxa" w:w="830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BIR zonal values are shown only as tax-reference floors, never as market prices.</w:t>
            </w:r>
          </w:p>
        </w:tc>
      </w:tr>
      <w:tr>
        <w:tc>
          <w:tcPr>
            <w:tcW w:type="dxa" w:w="72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R7</w:t>
            </w:r>
          </w:p>
        </w:tc>
        <w:tc>
          <w:tcPr>
            <w:tcW w:type="dxa" w:w="830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 figure carries a Truth Layer: Verified (sourced), Assumed (reasoned estimate), Projected (modelled).</w:t>
            </w:r>
          </w:p>
        </w:tc>
      </w:tr>
      <w:tr>
        <w:tc>
          <w:tcPr>
            <w:tcW w:type="dxa" w:w="72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R8</w:t>
            </w:r>
          </w:p>
        </w:tc>
        <w:tc>
          <w:tcPr>
            <w:tcW w:type="dxa" w:w="830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Confidence = decision-weighted evidence (Verified 1.0, Assumed 0.7, Projected 0.35): High ≥ 0.75, Medium ≥ 0.5, else Low; one level lower when an on-ground check is advised.</w:t>
            </w:r>
          </w:p>
        </w:tc>
      </w:tr>
      <w:tr>
        <w:tc>
          <w:tcPr>
            <w:tcW w:type="dxa" w:w="72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R9</w:t>
            </w:r>
          </w:p>
        </w:tc>
        <w:tc>
          <w:tcPr>
            <w:tcW w:type="dxa" w:w="830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Lease benchmarking needs at least 5 comparable leases; otherwise “Not enough data yet”.</w:t>
            </w:r>
          </w:p>
        </w:tc>
      </w:tr>
      <w:tr>
        <w:tc>
          <w:tcPr>
            <w:tcW w:type="dxa" w:w="72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R10</w:t>
            </w:r>
          </w:p>
        </w:tc>
        <w:tc>
          <w:tcPr>
            <w:tcW w:type="dxa" w:w="830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Final Report, dashboard and PDF always show the same call for a site.</w:t>
            </w:r>
          </w:p>
        </w:tc>
      </w:tr>
      <w:tr>
        <w:tc>
          <w:tcPr>
            <w:tcW w:type="dxa" w:w="72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R11</w:t>
            </w:r>
          </w:p>
        </w:tc>
        <w:tc>
          <w:tcPr>
            <w:tcW w:type="dxa" w:w="830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Outlets typed into an intake are visible only to that run; added brands are private to their creator.</w:t>
            </w:r>
          </w:p>
        </w:tc>
      </w:tr>
    </w:tbl>
    <w:p>
      <w:pPr>
        <w:pStyle w:val="Heading1"/>
        <w:pageBreakBefore/>
      </w:pPr>
      <w:r>
        <w:t xml:space="preserve">10.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04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704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Pages load in under 3 seconds on 4G for typical runs; a 5-site analysis completes in about 1–2 minutes.</w:t>
            </w:r>
          </w:p>
        </w:tc>
      </w:tr>
      <w:tr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Availability</w:t>
            </w:r>
          </w:p>
        </w:tc>
        <w:tc>
          <w:tcPr>
            <w:tcW w:type="dxa" w:w="704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Hosted on Netlify + Neon; target 99.5% monthly availability in production.</w:t>
            </w:r>
          </w:p>
        </w:tc>
      </w:tr>
      <w:tr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704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Secrets server-side; encrypted transport; strict content-security policy; role and tenant checks on every request; rate limiting; audit logging.</w:t>
            </w:r>
          </w:p>
        </w:tc>
      </w:tr>
      <w:tr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Privacy</w:t>
            </w:r>
          </w:p>
        </w:tc>
        <w:tc>
          <w:tcPr>
            <w:tcW w:type="dxa" w:w="704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Personal data (account details, client names on report covers) handled in line with the Data Privacy Act of 2012 (RA 10173); client details never placed in URLs.</w:t>
            </w:r>
          </w:p>
        </w:tc>
      </w:tr>
      <w:tr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04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 never by colour alone (icon + word); 44 px touch targets; keyboard navigation; screen-reader lists for maps; AA colour contrast in both themes.</w:t>
            </w:r>
          </w:p>
        </w:tc>
      </w:tr>
      <w:tr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704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Latest Chrome, Edge, Safari, Firefox; phone, tablet and desktop layouts.</w:t>
            </w:r>
          </w:p>
        </w:tc>
      </w:tr>
      <w:tr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quality</w:t>
            </w:r>
          </w:p>
        </w:tc>
        <w:tc>
          <w:tcPr>
            <w:tcW w:type="dxa" w:w="704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 reference row has a source and Truth Layer; loaders are idempotent and resumable.</w:t>
            </w:r>
          </w:p>
        </w:tc>
      </w:tr>
      <w:tr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704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Typed codebase with automated tests and CI; documented architecture and data dictionary.</w:t>
            </w:r>
          </w:p>
        </w:tc>
      </w:tr>
      <w:tr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Cost control</w:t>
            </w:r>
          </w:p>
        </w:tc>
        <w:tc>
          <w:tcPr>
            <w:tcW w:type="dxa" w:w="704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Paid Google services are off by default and gated; usage quotas and budget alerts in production.</w:t>
            </w:r>
          </w:p>
        </w:tc>
      </w:tr>
    </w:tbl>
    <w:p>
      <w:pPr>
        <w:pStyle w:val="Heading1"/>
        <w:pageBreakBefore/>
      </w:pPr>
      <w:r>
        <w:t xml:space="preserve">11. Data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249"/>
        <w:gridCol w:w="1625"/>
        <w:gridCol w:w="1986"/>
      </w:tblGrid>
      <w:tr>
        <w:trPr>
          <w:tblHeader/>
        </w:trP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324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62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Refresh</w:t>
            </w:r>
          </w:p>
        </w:tc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Points of interest</w:t>
            </w:r>
          </w:p>
        </w:tc>
        <w:tc>
          <w:tcPr>
            <w:tcW w:type="dxa" w:w="324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OpenStreetMap (Overpass); optional Google Places</w:t>
            </w:r>
          </w:p>
        </w:tc>
        <w:tc>
          <w:tcPr>
            <w:tcW w:type="dxa" w:w="162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Quarterly</w:t>
            </w:r>
          </w:p>
        </w:tc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Grid data team</w:t>
            </w:r>
          </w:p>
        </w:tc>
      </w:tr>
      <w:t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Administrative boundaries</w:t>
            </w:r>
          </w:p>
        </w:tc>
        <w:tc>
          <w:tcPr>
            <w:tcW w:type="dxa" w:w="324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PSA PSGC</w:t>
            </w:r>
          </w:p>
        </w:tc>
        <w:tc>
          <w:tcPr>
            <w:tcW w:type="dxa" w:w="162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When PSGC is revised</w:t>
            </w:r>
          </w:p>
        </w:tc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Grid data team</w:t>
            </w:r>
          </w:p>
        </w:tc>
      </w:tr>
      <w:t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Demographics</w:t>
            </w:r>
          </w:p>
        </w:tc>
        <w:tc>
          <w:tcPr>
            <w:tcW w:type="dxa" w:w="324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PSA census / HDX</w:t>
            </w:r>
          </w:p>
        </w:tc>
        <w:tc>
          <w:tcPr>
            <w:tcW w:type="dxa" w:w="162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Each census release</w:t>
            </w:r>
          </w:p>
        </w:tc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Grid data team</w:t>
            </w:r>
          </w:p>
        </w:tc>
      </w:tr>
      <w:t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BIR zonal values</w:t>
            </w:r>
          </w:p>
        </w:tc>
        <w:tc>
          <w:tcPr>
            <w:tcW w:type="dxa" w:w="324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BIR RDO schedules</w:t>
            </w:r>
          </w:p>
        </w:tc>
        <w:tc>
          <w:tcPr>
            <w:tcW w:type="dxa" w:w="162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When schedules change</w:t>
            </w:r>
          </w:p>
        </w:tc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Grid data team</w:t>
            </w:r>
          </w:p>
        </w:tc>
      </w:tr>
      <w:t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Lease comps</w:t>
            </w:r>
          </w:p>
        </w:tc>
        <w:tc>
          <w:tcPr>
            <w:tcW w:type="dxa" w:w="324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Broker submissions, published comps</w:t>
            </w:r>
          </w:p>
        </w:tc>
        <w:tc>
          <w:tcPr>
            <w:tcW w:type="dxa" w:w="162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Monthly</w:t>
            </w:r>
          </w:p>
        </w:tc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Grid brokerage</w:t>
            </w:r>
          </w:p>
        </w:tc>
      </w:tr>
      <w:t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Mall roster</w:t>
            </w:r>
          </w:p>
        </w:tc>
        <w:tc>
          <w:tcPr>
            <w:tcW w:type="dxa" w:w="324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Curated</w:t>
            </w:r>
          </w:p>
        </w:tc>
        <w:tc>
          <w:tcPr>
            <w:tcW w:type="dxa" w:w="162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Semi-annual</w:t>
            </w:r>
          </w:p>
        </w:tc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Grid brokerage</w:t>
            </w:r>
          </w:p>
        </w:tc>
      </w:tr>
      <w:t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Traffic corridors</w:t>
            </w:r>
          </w:p>
        </w:tc>
        <w:tc>
          <w:tcPr>
            <w:tcW w:type="dxa" w:w="324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DPWH AADT + seasonal templates</w:t>
            </w:r>
          </w:p>
        </w:tc>
        <w:tc>
          <w:tcPr>
            <w:tcW w:type="dxa" w:w="162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Annual</w:t>
            </w:r>
          </w:p>
        </w:tc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Grid data team</w:t>
            </w:r>
          </w:p>
        </w:tc>
      </w:tr>
      <w:t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Franchise catalogue</w:t>
            </w:r>
          </w:p>
        </w:tc>
        <w:tc>
          <w:tcPr>
            <w:tcW w:type="dxa" w:w="324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Franchisor-stated requirements, PFA directory</w:t>
            </w:r>
          </w:p>
        </w:tc>
        <w:tc>
          <w:tcPr>
            <w:tcW w:type="dxa" w:w="162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Quarterly</w:t>
            </w:r>
          </w:p>
        </w:tc>
        <w:tc>
          <w:tcPr>
            <w:tcW w:type="dxa" w:w="198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Grid franchise desk</w:t>
            </w:r>
          </w:p>
        </w:tc>
      </w:tr>
    </w:tbl>
    <w:p>
      <w:pPr>
        <w:pStyle w:val="Heading1"/>
        <w:pageBreakBefore/>
      </w:pPr>
      <w:r>
        <w:t xml:space="preserve">12. Compliance and guardrails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Guardrail</w:t>
            </w:r>
          </w:p>
        </w:tc>
        <w:tc>
          <w:tcPr>
            <w:tcW w:type="dxa" w:w="6318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BSA meets it</w:t>
            </w:r>
          </w:p>
        </w:tc>
      </w:tr>
      <w:tr>
        <w:tc>
          <w:tcPr>
            <w:tcW w:type="dxa" w:w="2708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 9646 (Real Estate Service Act)</w:t>
            </w:r>
          </w:p>
        </w:tc>
        <w:tc>
          <w:tcPr>
            <w:tcW w:type="dxa" w:w="6318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Positioned as decision support for licensed practitioners; notice on every page and report; no appraisal or price opinion.</w:t>
            </w:r>
          </w:p>
        </w:tc>
      </w:tr>
      <w:tr>
        <w:tc>
          <w:tcPr>
            <w:tcW w:type="dxa" w:w="2708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price verdicts</w:t>
            </w:r>
          </w:p>
        </w:tc>
        <w:tc>
          <w:tcPr>
            <w:tcW w:type="dxa" w:w="6318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Rent shown by position vs comparable leases; neutral colours; wording controlled centrally.</w:t>
            </w:r>
          </w:p>
        </w:tc>
      </w:tr>
      <w:tr>
        <w:tc>
          <w:tcPr>
            <w:tcW w:type="dxa" w:w="2708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BIR zonal values</w:t>
            </w:r>
          </w:p>
        </w:tc>
        <w:tc>
          <w:tcPr>
            <w:tcW w:type="dxa" w:w="6318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Labelled as tax-reference floors with fixed wording.</w:t>
            </w:r>
          </w:p>
        </w:tc>
      </w:tr>
      <w:tr>
        <w:tc>
          <w:tcPr>
            <w:tcW w:type="dxa" w:w="2708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 10173 (Data Privacy Act)</w:t>
            </w:r>
          </w:p>
        </w:tc>
        <w:tc>
          <w:tcPr>
            <w:tcW w:type="dxa" w:w="6318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Minimal personal data; access control; audit log; no personal data in URLs.</w:t>
            </w:r>
          </w:p>
        </w:tc>
      </w:tr>
      <w:tr>
        <w:tc>
          <w:tcPr>
            <w:tcW w:type="dxa" w:w="2708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Transparency</w:t>
            </w:r>
          </w:p>
        </w:tc>
        <w:tc>
          <w:tcPr>
            <w:tcW w:type="dxa" w:w="6318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Truth Layer on every figure; Final Report shows what drove each call.</w:t>
            </w:r>
          </w:p>
        </w:tc>
      </w:tr>
    </w:tbl>
    <w:p>
      <w:pPr>
        <w:pStyle w:val="Heading1"/>
        <w:pageBreakBefore/>
      </w:pPr>
      <w:r>
        <w:t xml:space="preserve">13. Assumptions, constraints and dependencies</w:t>
      </w:r>
    </w:p>
    <w:p>
      <w:pPr>
        <w:pStyle w:val="Heading3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are licensed brokers or work with one when advising clients.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 data for a region is loaded before that region is offered to clients.</w:t>
      </w:r>
    </w:p>
    <w:p>
      <w:pPr>
        <w:pStyle w:val="Heading3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 stack: Next.js, React/TypeScript, Prisma, PostgreSQL on Neon (PostGIS, pgvector).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Serverless function limits shape the pipeline (time-boxed slices).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OpenStreetMap services are rate-limited; large loads take time.</w:t>
      </w: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Netlify (hosting)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Neon (database)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OpenStreetMap / Overpass and PSA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Maps Platform (planned maps, optional Places/Geocoding)</w:t>
      </w:r>
    </w:p>
    <w:p>
      <w:pPr>
        <w:pStyle w:val="Heading1"/>
        <w:pageBreakBefore/>
      </w:pPr>
      <w:r>
        <w:t xml:space="preserve">14. 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173"/>
        <w:gridCol w:w="993"/>
        <w:gridCol w:w="3791"/>
      </w:tblGrid>
      <w:tr>
        <w:trPr>
          <w:tblHeader/>
        </w:trPr>
        <w:tc>
          <w:tcPr>
            <w:tcW w:type="dxa" w:w="306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17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99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79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6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Thin data in new regions gives Low-confidence calls</w:t>
            </w:r>
          </w:p>
        </w:tc>
        <w:tc>
          <w:tcPr>
            <w:tcW w:type="dxa" w:w="117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99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379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Load all layers per region before launch; confidence shown on every run.</w:t>
            </w:r>
          </w:p>
        </w:tc>
      </w:tr>
      <w:tr>
        <w:tc>
          <w:tcPr>
            <w:tcW w:type="dxa" w:w="306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Users read the tool as a price opinion</w:t>
            </w:r>
          </w:p>
        </w:tc>
        <w:tc>
          <w:tcPr>
            <w:tcW w:type="dxa" w:w="117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99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379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Positional wording, neutral colours, RA 9646 notice, broker framing in copy and training.</w:t>
            </w:r>
          </w:p>
        </w:tc>
      </w:tr>
      <w:tr>
        <w:tc>
          <w:tcPr>
            <w:tcW w:type="dxa" w:w="306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Google Maps costs exceed budget</w:t>
            </w:r>
          </w:p>
        </w:tc>
        <w:tc>
          <w:tcPr>
            <w:tcW w:type="dxa" w:w="117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99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379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Free monthly allowances, quotas, budget alerts, lazy map loading.</w:t>
            </w:r>
          </w:p>
        </w:tc>
      </w:tr>
      <w:tr>
        <w:tc>
          <w:tcPr>
            <w:tcW w:type="dxa" w:w="306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sources change format</w:t>
            </w:r>
          </w:p>
        </w:tc>
        <w:tc>
          <w:tcPr>
            <w:tcW w:type="dxa" w:w="117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99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379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Tolerant loaders, validation script, data owners named.</w:t>
            </w:r>
          </w:p>
        </w:tc>
      </w:tr>
      <w:tr>
        <w:tc>
          <w:tcPr>
            <w:tcW w:type="dxa" w:w="3069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 incident</w:t>
            </w:r>
          </w:p>
        </w:tc>
        <w:tc>
          <w:tcPr>
            <w:tcW w:type="dxa" w:w="117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99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379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Production hardening list, key rotation, monitoring.</w:t>
            </w:r>
          </w:p>
        </w:tc>
      </w:tr>
    </w:tbl>
    <w:p>
      <w:pPr>
        <w:pStyle w:val="Heading1"/>
        <w:pageBreakBefore/>
      </w:pPr>
      <w:r>
        <w:t xml:space="preserve">15. Release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5957"/>
        <w:gridCol w:w="1625"/>
      </w:tblGrid>
      <w:tr>
        <w:trPr>
          <w:tblHeader/>
        </w:trPr>
        <w:tc>
          <w:tcPr>
            <w:tcW w:type="dxa" w:w="144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595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62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4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v3 (handoff)</w:t>
            </w:r>
          </w:p>
        </w:tc>
        <w:tc>
          <w:tcPr>
            <w:tcW w:type="dxa" w:w="595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features in section 8 marked Delivered; NCR data; design system v2; site PDF and run report.</w:t>
            </w:r>
          </w:p>
        </w:tc>
        <w:tc>
          <w:tcPr>
            <w:tcW w:type="dxa" w:w="162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144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v3.1</w:t>
            </w:r>
          </w:p>
        </w:tc>
        <w:tc>
          <w:tcPr>
            <w:tcW w:type="dxa" w:w="595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Cavite and Batangas data; Google Maps migration; production security items.</w:t>
            </w:r>
          </w:p>
        </w:tc>
        <w:tc>
          <w:tcPr>
            <w:tcW w:type="dxa" w:w="162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444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v3.2</w:t>
            </w:r>
          </w:p>
        </w:tc>
        <w:tc>
          <w:tcPr>
            <w:tcW w:type="dxa" w:w="5957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PRC licence on profiles; travel-time trade areas; data refresh automation.</w:t>
            </w:r>
          </w:p>
        </w:tc>
        <w:tc>
          <w:tcPr>
            <w:tcW w:type="dxa" w:w="1625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Proposed</w:t>
            </w:r>
          </w:p>
        </w:tc>
      </w:tr>
    </w:tbl>
    <w:p>
      <w:pPr>
        <w:pStyle w:val="Heading1"/>
        <w:pageBreakBefore/>
      </w:pPr>
      <w:r>
        <w:t xml:space="preserve">16. Acceptance criteria (UAT)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4062"/>
        <w:gridCol w:w="4061"/>
      </w:tblGrid>
      <w:tr>
        <w:trPr>
          <w:tblHeader/>
        </w:trPr>
        <w:tc>
          <w:tcPr>
            <w:tcW w:type="dxa" w:w="90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06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90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UAT-1</w:t>
            </w:r>
          </w:p>
        </w:tc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Register, sign in, sign out, sign in again.</w:t>
            </w:r>
          </w:p>
        </w:tc>
        <w:tc>
          <w:tcPr>
            <w:tcW w:type="dxa" w:w="406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Access works; old session cannot be reused after logout.</w:t>
            </w:r>
          </w:p>
        </w:tc>
      </w:tr>
      <w:tr>
        <w:tc>
          <w:tcPr>
            <w:tcW w:type="dxa" w:w="90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UAT-2</w:t>
            </w:r>
          </w:p>
        </w:tc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Screen brands with ₱2M budget and 80 sqm.</w:t>
            </w:r>
          </w:p>
        </w:tc>
        <w:tc>
          <w:tcPr>
            <w:tcW w:type="dxa" w:w="406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Ranked brand cards; out-of-reach brands flagged.</w:t>
            </w:r>
          </w:p>
        </w:tc>
      </w:tr>
      <w:tr>
        <w:tc>
          <w:tcPr>
            <w:tcW w:type="dxa" w:w="90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UAT-3</w:t>
            </w:r>
          </w:p>
        </w:tc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Start an intake from a brand card; complete 4 steps with 3 pinned sites.</w:t>
            </w:r>
          </w:p>
        </w:tc>
        <w:tc>
          <w:tcPr>
            <w:tcW w:type="dxa" w:w="406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Brand pre-selected; submit enabled only when the checklist is complete.</w:t>
            </w:r>
          </w:p>
        </w:tc>
      </w:tr>
      <w:tr>
        <w:tc>
          <w:tcPr>
            <w:tcW w:type="dxa" w:w="90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UAT-4</w:t>
            </w:r>
          </w:p>
        </w:tc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Wait for the analysis.</w:t>
            </w:r>
          </w:p>
        </w:tc>
        <w:tc>
          <w:tcPr>
            <w:tcW w:type="dxa" w:w="406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 shows a call per site within about 2 minutes.</w:t>
            </w:r>
          </w:p>
        </w:tc>
      </w:tr>
      <w:tr>
        <w:tc>
          <w:tcPr>
            <w:tcW w:type="dxa" w:w="90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UAT-5</w:t>
            </w:r>
          </w:p>
        </w:tc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 a site → Final Report.</w:t>
            </w:r>
          </w:p>
        </w:tc>
        <w:tc>
          <w:tcPr>
            <w:tcW w:type="dxa" w:w="406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Same call as the dashboard; findings with figures and Truth Layer labels.</w:t>
            </w:r>
          </w:p>
        </w:tc>
      </w:tr>
      <w:tr>
        <w:tc>
          <w:tcPr>
            <w:tcW w:type="dxa" w:w="90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UAT-6</w:t>
            </w:r>
          </w:p>
        </w:tc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Lease Benchmark → enter and save an asking rent.</w:t>
            </w:r>
          </w:p>
        </w:tc>
        <w:tc>
          <w:tcPr>
            <w:tcW w:type="dxa" w:w="406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Position shown neutrally; site score updates.</w:t>
            </w:r>
          </w:p>
        </w:tc>
      </w:tr>
      <w:tr>
        <w:tc>
          <w:tcPr>
            <w:tcW w:type="dxa" w:w="90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UAT-7</w:t>
            </w:r>
          </w:p>
        </w:tc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Export site PDF.</w:t>
            </w:r>
          </w:p>
        </w:tc>
        <w:tc>
          <w:tcPr>
            <w:tcW w:type="dxa" w:w="406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PDF contains the same data as the Final Report screen.</w:t>
            </w:r>
          </w:p>
        </w:tc>
      </w:tr>
      <w:tr>
        <w:tc>
          <w:tcPr>
            <w:tcW w:type="dxa" w:w="90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UAT-8</w:t>
            </w:r>
          </w:p>
        </w:tc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 report → Download full report with client details.</w:t>
            </w:r>
          </w:p>
        </w:tc>
        <w:tc>
          <w:tcPr>
            <w:tcW w:type="dxa" w:w="406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Branded report opens; prints to PDF; client details not in the URL.</w:t>
            </w:r>
          </w:p>
        </w:tc>
      </w:tr>
      <w:tr>
        <w:tc>
          <w:tcPr>
            <w:tcW w:type="dxa" w:w="90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UAT-9</w:t>
            </w:r>
          </w:p>
        </w:tc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Switch to Light theme; use the app on a phone.</w:t>
            </w:r>
          </w:p>
        </w:tc>
        <w:tc>
          <w:tcPr>
            <w:tcW w:type="dxa" w:w="406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Readable in both themes; menu and maps usable on phone.</w:t>
            </w:r>
          </w:p>
        </w:tc>
      </w:tr>
      <w:tr>
        <w:tc>
          <w:tcPr>
            <w:tcW w:type="dxa" w:w="903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UAT-10</w:t>
            </w:r>
          </w:p>
        </w:tc>
        <w:tc>
          <w:tcPr>
            <w:tcW w:type="dxa" w:w="4062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Brand added by user A is not visible to user B.</w:t>
            </w:r>
          </w:p>
        </w:tc>
        <w:tc>
          <w:tcPr>
            <w:tcW w:type="dxa" w:w="4061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Private brands isolated.</w:t>
            </w:r>
          </w:p>
        </w:tc>
      </w:tr>
    </w:tbl>
    <w:p>
      <w:pPr>
        <w:pStyle w:val="Heading1"/>
        <w:pageBreakBefore/>
      </w:pPr>
      <w:r>
        <w:t xml:space="preserve">17.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1C335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Candidate site</w:t>
            </w:r>
          </w:p>
        </w:tc>
        <w:tc>
          <w:tcPr>
            <w:tcW w:type="dxa" w:w="686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location being evaluated in a run.</w:t>
            </w:r>
          </w:p>
        </w:tc>
      </w:tr>
      <w:t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</w:t>
            </w:r>
          </w:p>
        </w:tc>
        <w:tc>
          <w:tcPr>
            <w:tcW w:type="dxa" w:w="686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analysis of an intake (up to five sites).</w:t>
            </w:r>
          </w:p>
        </w:tc>
      </w:tr>
      <w:t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Composite</w:t>
            </w:r>
          </w:p>
        </w:tc>
        <w:tc>
          <w:tcPr>
            <w:tcW w:type="dxa" w:w="686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Weighted 0–100 score combining the modules.</w:t>
            </w:r>
          </w:p>
        </w:tc>
      </w:tr>
      <w:t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Cannibalisation</w:t>
            </w:r>
          </w:p>
        </w:tc>
        <w:tc>
          <w:tcPr>
            <w:tcW w:type="dxa" w:w="686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Sales a new branch would take from your existing branches.</w:t>
            </w:r>
          </w:p>
        </w:tc>
      </w:tr>
      <w:t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Catchment / trade area</w:t>
            </w:r>
          </w:p>
        </w:tc>
        <w:tc>
          <w:tcPr>
            <w:tcW w:type="dxa" w:w="686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area around a site from which most customers come.</w:t>
            </w:r>
          </w:p>
        </w:tc>
      </w:tr>
      <w:t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Corridor</w:t>
            </w:r>
          </w:p>
        </w:tc>
        <w:tc>
          <w:tcPr>
            <w:tcW w:type="dxa" w:w="686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named commercial area used for lease and traffic comparisons (e.g. BGC, Bacoor–Imus).</w:t>
            </w:r>
          </w:p>
        </w:tc>
      </w:tr>
      <w:t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Truth Layer</w:t>
            </w:r>
          </w:p>
        </w:tc>
        <w:tc>
          <w:tcPr>
            <w:tcW w:type="dxa" w:w="686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Verified / Assumed / Projected label on every figure.</w:t>
            </w:r>
          </w:p>
        </w:tc>
      </w:tr>
      <w:tr>
        <w:tc>
          <w:tcPr>
            <w:tcW w:type="dxa" w:w="2166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White-Space</w:t>
            </w:r>
          </w:p>
        </w:tc>
        <w:tc>
          <w:tcPr>
            <w:tcW w:type="dxa" w:w="6860"/>
            <w:tcBorders>
              <w:top w:val="single" w:color="D2D2D2" w:sz="4"/>
              <w:left w:val="single" w:color="D2D2D2" w:sz="4"/>
              <w:bottom w:val="single" w:color="D2D2D2" w:sz="4"/>
              <w:right w:val="single" w:color="D2D2D2" w:sz="4"/>
            </w:tcBorders>
            <w:shd w:fill="F8F7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Nearby areas with demand and little cannibalisation.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4A5873"/>
        <w:sz w:val="16"/>
        <w:szCs w:val="16"/>
      </w:rPr>
      <w:t xml:space="preserve">Confidential — for internal and client use</w:t>
    </w:r>
    <w:r>
      <w:rPr>
        <w:color w:val="4A58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2D2D2" w:sz="4" w:space="4"/>
      </w:pBdr>
      <w:tabs>
        <w:tab w:val="right" w:pos="9026"/>
      </w:tabs>
    </w:pPr>
    <w:r>
      <w:rPr>
        <w:color w:val="4A5873"/>
        <w:sz w:val="16"/>
        <w:szCs w:val="16"/>
      </w:rPr>
      <w:t xml:space="preserve">GRID Property Ventures · Business Site Analysis</w:t>
    </w:r>
    <w:r>
      <w:rPr>
        <w:b/>
        <w:bCs/>
        <w:color w:val="8E5A3B"/>
        <w:sz w:val="16"/>
        <w:szCs w:val="16"/>
      </w:rPr>
      <w:t xml:space="preserve">	Business Requirements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633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E8562" w:sz="12" w:space="6"/>
      </w:pBdr>
      <w:spacing w:after="160" w:before="240"/>
      <w:outlineLvl w:val="0"/>
    </w:pPr>
    <w:rPr>
      <w:rFonts w:ascii="Poppins" w:cs="Poppins" w:eastAsia="Poppins" w:hAnsi="Poppins"/>
      <w:b/>
      <w:bCs/>
      <w:color w:val="1C33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80"/>
      <w:outlineLvl w:val="1"/>
    </w:pPr>
    <w:rPr>
      <w:rFonts w:ascii="Poppins" w:cs="Poppins" w:eastAsia="Poppins" w:hAnsi="Poppins"/>
      <w:b/>
      <w:bCs/>
      <w:color w:val="1C33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Poppins" w:cs="Poppins" w:eastAsia="Poppins" w:hAnsi="Poppins"/>
      <w:b/>
      <w:bCs/>
      <w:color w:val="8E5A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fd05deb12f6db8e8ac259e4447a86e8afdb1f1e.png"/><Relationship Id="rId12" Type="http://schemas.openxmlformats.org/officeDocument/2006/relationships/image" Target="media/37580bb4b1f0c1e48c0b55c093287bef82cd486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creator>Grid Property Ventures — BSA Agency</dc:creator>
  <dc:description>Business Requirements Document</dc:description>
  <cp:lastModifiedBy>Un-named</cp:lastModifiedBy>
  <cp:revision>1</cp:revision>
  <dcterms:created xsi:type="dcterms:W3CDTF">2026-10-01T05:23:47.176Z</dcterms:created>
  <dcterms:modified xsi:type="dcterms:W3CDTF">2026-10-01T05:23:47.177Z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