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drawing>
          <wp:inline distT="0" distB="0" distL="0" distR="0">
            <wp:extent cx="1809750" cy="723900"/>
            <wp:effectExtent t="0" r="0" b="0" l="0"/>
            <wp:docPr id="1" name="logo" descr="GRID Property Ventures logo" title="GRID Property 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723900"/>
                    </a:xfrm>
                    <a:prstGeom prst="rect">
                      <a:avLst/>
                    </a:prstGeom>
                  </pic:spPr>
                </pic:pic>
              </a:graphicData>
            </a:graphic>
          </wp:inline>
        </w:drawing>
      </w:r>
    </w:p>
    <w:p>
      <w:pPr>
        <w:spacing w:after="160"/>
      </w:pPr>
      <w:r>
        <w:rPr>
          <w:rFonts w:ascii="Poppins" w:cs="Poppins" w:eastAsia="Poppins" w:hAnsi="Poppins"/>
          <w:b/>
          <w:bCs/>
          <w:color w:val="8E5A3B"/>
          <w:spacing w:val="40"/>
          <w:sz w:val="20"/>
          <w:szCs w:val="20"/>
        </w:rPr>
        <w:t xml:space="preserve">FOR THE MARKETING TEAM</w:t>
      </w:r>
    </w:p>
    <w:p>
      <w:pPr>
        <w:spacing w:after="160"/>
      </w:pPr>
      <w:r>
        <w:rPr>
          <w:rFonts w:ascii="Poppins" w:cs="Poppins" w:eastAsia="Poppins" w:hAnsi="Poppins"/>
          <w:b/>
          <w:bCs/>
          <w:color w:val="1C335E"/>
          <w:sz w:val="60"/>
          <w:szCs w:val="60"/>
        </w:rPr>
        <w:t xml:space="preserve">Marketing Copy Kit</w:t>
      </w:r>
    </w:p>
    <w:p>
      <w:pPr>
        <w:pBdr>
          <w:bottom w:val="single" w:color="BE8562" w:sz="24" w:space="12"/>
        </w:pBdr>
        <w:spacing w:after="300"/>
      </w:pPr>
      <w:r>
        <w:rPr>
          <w:color w:val="4A5873"/>
          <w:sz w:val="28"/>
          <w:szCs w:val="28"/>
        </w:rPr>
        <w:t xml:space="preserve">Business Site Analysis (BSA) — positioning, headlines, product copy, web, social, email and sales materials</w:t>
      </w:r>
    </w:p>
    <w:p>
      <w:pPr>
        <w:spacing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DOCUMENT</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Marketing Copy Kit</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VERSION</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1.0</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DATE</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1 October 2026</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AUDIENCE</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Grid Property Ventures marketing and sales</w:t>
            </w:r>
          </w:p>
        </w:tc>
      </w:tr>
      <w:tr>
        <w:tc>
          <w:tcPr>
            <w:tcW w:type="dxa" w:w="2600"/>
            <w:tcBorders>
              <w:top w:val="none" w:color="FFFFFF" w:sz="0"/>
              <w:left w:val="none" w:color="FFFFFF" w:sz="0"/>
              <w:bottom w:val="single" w:color="D2D2D2" w:sz="4"/>
              <w:right w:val="none" w:color="FFFFFF" w:sz="0"/>
            </w:tcBorders>
            <w:tcMar>
              <w:top w:type="dxa" w:w="80"/>
              <w:left w:type="dxa" w:w="0"/>
              <w:bottom w:type="dxa" w:w="80"/>
              <w:right w:type="dxa" w:w="100"/>
            </w:tcMar>
          </w:tcPr>
          <w:p>
            <w:r>
              <w:rPr>
                <w:rFonts w:ascii="Poppins" w:cs="Poppins" w:eastAsia="Poppins" w:hAnsi="Poppins"/>
                <w:b/>
                <w:bCs/>
                <w:color w:val="4A5873"/>
                <w:sz w:val="17"/>
                <w:szCs w:val="17"/>
              </w:rPr>
              <w:t xml:space="preserve">APPROVAL</w:t>
            </w:r>
          </w:p>
        </w:tc>
        <w:tc>
          <w:tcPr>
            <w:tcW w:type="dxa" w:w="6426"/>
            <w:tcBorders>
              <w:top w:val="none" w:color="FFFFFF" w:sz="0"/>
              <w:left w:val="none" w:color="FFFFFF" w:sz="0"/>
              <w:bottom w:val="single" w:color="D2D2D2" w:sz="4"/>
              <w:right w:val="none" w:color="FFFFFF" w:sz="0"/>
            </w:tcBorders>
            <w:tcMar>
              <w:top w:type="dxa" w:w="80"/>
              <w:left w:type="dxa" w:w="100"/>
              <w:bottom w:type="dxa" w:w="80"/>
              <w:right w:type="dxa" w:w="0"/>
            </w:tcMar>
          </w:tcPr>
          <w:p>
            <w:r>
              <w:rPr>
                <w:color w:val="0E192F"/>
                <w:sz w:val="21"/>
                <w:szCs w:val="21"/>
              </w:rPr>
              <w:t xml:space="preserve">Compliance review required before new claims (section 2)</w:t>
            </w:r>
          </w:p>
        </w:tc>
      </w:tr>
    </w:tbl>
    <w:p>
      <w:pPr>
        <w:spacing w:after="500"/>
      </w:pPr>
    </w:p>
    <w:p>
      <w:r>
        <w:rPr>
          <w:i/>
          <w:iCs/>
          <w:color w:val="4A5873"/>
          <w:sz w:val="17"/>
          <w:szCs w:val="17"/>
        </w:rPr>
        <w:t xml:space="preserve">Business Site Analysis (BSA) is decision support for licensed real estate practitioners (RA 9646). It does not appraise property or give price opinions; the broker still advises the client and closes the deal.</w:t>
      </w:r>
    </w:p>
    <w:p>
      <w:r>
        <w:br w:type="page"/>
      </w:r>
    </w:p>
    <w:p>
      <w:pPr>
        <w:spacing w:after="200"/>
      </w:pPr>
      <w:r>
        <w:rPr>
          <w:rFonts w:ascii="Poppins" w:cs="Poppins" w:eastAsia="Poppins" w:hAnsi="Poppins"/>
          <w:b/>
          <w:bCs/>
          <w:color w:val="1C335E"/>
          <w:sz w:val="34"/>
          <w:szCs w:val="34"/>
        </w:rPr>
        <w:t xml:space="preserve">Contents</w:t>
      </w:r>
    </w:p>
    <w:p>
      <w:pPr>
        <w:spacing w:after="110"/>
      </w:pPr>
      <w:r>
        <w:rPr>
          <w:color w:val="0E192F"/>
          <w:sz w:val="23"/>
          <w:szCs w:val="23"/>
        </w:rPr>
        <w:t xml:space="preserve">1. How to use this kit</w:t>
      </w:r>
    </w:p>
    <w:p>
      <w:pPr>
        <w:spacing w:after="110"/>
      </w:pPr>
      <w:r>
        <w:rPr>
          <w:color w:val="0E192F"/>
          <w:sz w:val="23"/>
          <w:szCs w:val="23"/>
        </w:rPr>
        <w:t xml:space="preserve">2. Compliance rules (read first)</w:t>
      </w:r>
    </w:p>
    <w:p>
      <w:pPr>
        <w:spacing w:after="110"/>
      </w:pPr>
      <w:r>
        <w:rPr>
          <w:color w:val="0E192F"/>
          <w:sz w:val="23"/>
          <w:szCs w:val="23"/>
        </w:rPr>
        <w:t xml:space="preserve">3. Positioning</w:t>
      </w:r>
    </w:p>
    <w:p>
      <w:pPr>
        <w:spacing w:after="110"/>
      </w:pPr>
      <w:r>
        <w:rPr>
          <w:color w:val="0E192F"/>
          <w:sz w:val="23"/>
          <w:szCs w:val="23"/>
        </w:rPr>
        <w:t xml:space="preserve">4. Taglines and headlines</w:t>
      </w:r>
    </w:p>
    <w:p>
      <w:pPr>
        <w:spacing w:after="110"/>
      </w:pPr>
      <w:r>
        <w:rPr>
          <w:color w:val="0E192F"/>
          <w:sz w:val="23"/>
          <w:szCs w:val="23"/>
        </w:rPr>
        <w:t xml:space="preserve">5. Product descriptions</w:t>
      </w:r>
    </w:p>
    <w:p>
      <w:pPr>
        <w:spacing w:after="110"/>
      </w:pPr>
      <w:r>
        <w:rPr>
          <w:color w:val="0E192F"/>
          <w:sz w:val="23"/>
          <w:szCs w:val="23"/>
        </w:rPr>
        <w:t xml:space="preserve">6. Feature and benefit copy</w:t>
      </w:r>
    </w:p>
    <w:p>
      <w:pPr>
        <w:spacing w:after="110"/>
      </w:pPr>
      <w:r>
        <w:rPr>
          <w:color w:val="0E192F"/>
          <w:sz w:val="23"/>
          <w:szCs w:val="23"/>
        </w:rPr>
        <w:t xml:space="preserve">7. Messages by audience</w:t>
      </w:r>
    </w:p>
    <w:p>
      <w:pPr>
        <w:spacing w:after="110"/>
      </w:pPr>
      <w:r>
        <w:rPr>
          <w:color w:val="0E192F"/>
          <w:sz w:val="23"/>
          <w:szCs w:val="23"/>
        </w:rPr>
        <w:t xml:space="preserve">8. Landing page copy</w:t>
      </w:r>
    </w:p>
    <w:p>
      <w:pPr>
        <w:spacing w:after="110"/>
      </w:pPr>
      <w:r>
        <w:rPr>
          <w:color w:val="0E192F"/>
          <w:sz w:val="23"/>
          <w:szCs w:val="23"/>
        </w:rPr>
        <w:t xml:space="preserve">9. Social media</w:t>
      </w:r>
    </w:p>
    <w:p>
      <w:pPr>
        <w:spacing w:after="110"/>
      </w:pPr>
      <w:r>
        <w:rPr>
          <w:color w:val="0E192F"/>
          <w:sz w:val="23"/>
          <w:szCs w:val="23"/>
        </w:rPr>
        <w:t xml:space="preserve">10. Email</w:t>
      </w:r>
    </w:p>
    <w:p>
      <w:pPr>
        <w:spacing w:after="110"/>
      </w:pPr>
      <w:r>
        <w:rPr>
          <w:color w:val="0E192F"/>
          <w:sz w:val="23"/>
          <w:szCs w:val="23"/>
        </w:rPr>
        <w:t xml:space="preserve">11. Sales one-pager and demo script</w:t>
      </w:r>
    </w:p>
    <w:p>
      <w:pPr>
        <w:spacing w:after="110"/>
      </w:pPr>
      <w:r>
        <w:rPr>
          <w:color w:val="0E192F"/>
          <w:sz w:val="23"/>
          <w:szCs w:val="23"/>
        </w:rPr>
        <w:t xml:space="preserve">12. FAQ and boilerplate</w:t>
      </w:r>
    </w:p>
    <w:p>
      <w:pPr>
        <w:spacing w:before="200"/>
      </w:pPr>
      <w:r>
        <w:rPr>
          <w:i/>
          <w:iCs/>
          <w:color w:val="4A5873"/>
          <w:sz w:val="18"/>
          <w:szCs w:val="18"/>
        </w:rPr>
        <w:t xml:space="preserve">Tip: in Word, View → Navigation Pane lists every heading with a link.</w:t>
      </w:r>
    </w:p>
    <w:p>
      <w:pPr>
        <w:pStyle w:val="Heading1"/>
        <w:pageBreakBefore/>
      </w:pPr>
      <w:r>
        <w:t xml:space="preserve">1. How to use this kit</w:t>
      </w:r>
    </w:p>
    <w:p>
      <w:pPr>
        <w:spacing w:after="200"/>
      </w:pPr>
      <w:r>
        <w:rPr>
          <w:color w:val="4A5873"/>
          <w:sz w:val="24"/>
          <w:szCs w:val="24"/>
        </w:rPr>
        <w:t xml:space="preserve">Ready-to-use copy for Business Site Analysis (BSA) by Grid Property Ventures — positioning, headlines, product descriptions, web, social, email and sales materials.</w:t>
      </w:r>
    </w:p>
    <w:p>
      <w:pPr>
        <w:spacing w:after="120"/>
      </w:pPr>
      <w:r>
        <w:t xml:space="preserve">Copy can be used as written or shortened. Before publishing anything new, check it against the </w:t>
      </w:r>
      <w:r>
        <w:rPr>
          <w:b/>
          <w:bCs/>
        </w:rPr>
        <w:t xml:space="preserve">compliance rules in section 2</w:t>
      </w:r>
      <w:r>
        <w:t xml:space="preserve"> — BSA is decision support for licensed brokers and must never be described as a valuation or price-opinion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Section</w:t>
            </w:r>
          </w:p>
        </w:tc>
        <w:tc>
          <w:tcPr>
            <w:tcW w:type="dxa" w:w="586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Use it for</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2. Compliance rules</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Read first — words to use and avoid, required notice</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3. Positioning</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Internal alignment: audience, promise, proof</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4. Taglines and headlines</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Ads, banners, slide titles</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5. Product descriptions</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25 / 50 / 100 / 200-word versions</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6. Feature and benefit copy</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Web sections, brochures, sales decks</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7. Audience messages</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Brokers, franchisors, franchisees</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8. Landing page</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Full website page copy</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9. Social media</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LinkedIn, Facebook, Instagram</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10. Email</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Launch announcement and follow-up</w:t>
            </w:r>
          </w:p>
        </w:tc>
      </w:tr>
      <w:tr>
        <w:tc>
          <w:tcPr>
            <w:tcW w:type="dxa" w:w="3159"/>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11. Sales one-pager and demo script</w:t>
            </w:r>
          </w:p>
        </w:tc>
        <w:tc>
          <w:tcPr>
            <w:tcW w:type="dxa" w:w="586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Meetings and events</w:t>
            </w:r>
          </w:p>
        </w:tc>
      </w:tr>
      <w:tr>
        <w:tc>
          <w:tcPr>
            <w:tcW w:type="dxa" w:w="3159"/>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12. FAQ and boilerplate</w:t>
            </w:r>
          </w:p>
        </w:tc>
        <w:tc>
          <w:tcPr>
            <w:tcW w:type="dxa" w:w="586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Website FAQ, press, partner pages</w:t>
            </w:r>
          </w:p>
        </w:tc>
      </w:tr>
    </w:tbl>
    <w:p>
      <w:pPr>
        <w:pStyle w:val="Heading1"/>
        <w:pageBreakBefore/>
      </w:pPr>
      <w:r>
        <w:t xml:space="preserve">2. Compliance rules (read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3261E" w:sz="24"/>
              <w:bottom w:val="none" w:color="FFFFFF" w:sz="0"/>
              <w:right w:val="none" w:color="FFFFFF" w:sz="0"/>
            </w:tcBorders>
            <w:shd w:fill="FBF1F0" w:color="auto" w:val="clear"/>
            <w:tcMar>
              <w:top w:type="dxa" w:w="120"/>
              <w:left w:type="dxa" w:w="200"/>
              <w:bottom w:type="dxa" w:w="120"/>
              <w:right w:type="dxa" w:w="200"/>
            </w:tcMar>
          </w:tcPr>
          <w:p>
            <w:pPr>
              <w:spacing w:after="80"/>
            </w:pPr>
            <w:r>
              <w:rPr>
                <w:rFonts w:ascii="Poppins" w:cs="Poppins" w:eastAsia="Poppins" w:hAnsi="Poppins"/>
                <w:b/>
                <w:bCs/>
                <w:color w:val="B3261E"/>
                <w:sz w:val="21"/>
                <w:szCs w:val="21"/>
              </w:rPr>
              <w:t xml:space="preserve">Required notice (use on web pages, brochures and decks)</w:t>
            </w:r>
          </w:p>
          <w:p>
            <w:pPr>
              <w:spacing w:after="60"/>
            </w:pPr>
            <w:r>
              <w:rPr>
                <w:sz w:val="20"/>
                <w:szCs w:val="20"/>
              </w:rPr>
              <w:t xml:space="preserve">“BSA is decision support for licensed real estate practitioners (RA 9646). It does not appraise property or give price opinions; the broker still advises the client and closes the deal.”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Say</w:t>
            </w:r>
          </w:p>
        </w:tc>
        <w:tc>
          <w:tcPr>
            <w:tcW w:type="dxa" w:w="4513"/>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Do not say</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 clear Proceed / Proceed with caution / No-Go call for each site”</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“Guaranteed profitable sites”, “never pick a bad site again”</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“See where the asking rent sits among comparable leases”</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“Find out if the rent is fair / overpriced / a good deal”</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“BIR zonal values shown as tax-reference floors”</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“Property values”, “market value”, “valuation”, “appraisal”</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“Helps brokers advise with evidence”</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“Replaces brokers”, “no broker needed”</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“Every figure labelled Verified, Assumed or Projected”</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“100% accurate data”</w:t>
            </w:r>
          </w:p>
        </w:tc>
      </w:tr>
      <w:tr>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“Data-driven recommendation”</w:t>
            </w:r>
          </w:p>
        </w:tc>
        <w:tc>
          <w:tcPr>
            <w:tcW w:type="dxa" w:w="4513"/>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“AI predicts your sales”, “AI-powered valuation”</w:t>
            </w:r>
          </w:p>
        </w:tc>
      </w:tr>
      <w:tr>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“Analyses up to five candidate sites per run”</w:t>
            </w:r>
          </w:p>
        </w:tc>
        <w:tc>
          <w:tcPr>
            <w:tcW w:type="dxa" w:w="4513"/>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Unverified statistics (e.g. “cuts failures by 50%”) unless Grid has evidence</w:t>
            </w:r>
          </w:p>
        </w:tc>
      </w:tr>
    </w:tbl>
    <w:p>
      <w:pPr>
        <w:spacing w:after="120"/>
      </w:pPr>
    </w:p>
    <w:p>
      <w:pPr>
        <w:pStyle w:val="ListParagraph"/>
        <w:numPr>
          <w:ilvl w:val="0"/>
          <w:numId w:val="2"/>
        </w:numPr>
        <w:spacing w:after="60"/>
      </w:pPr>
      <w:r>
        <w:rPr>
          <w:b/>
          <w:bCs/>
        </w:rPr>
        <w:t xml:space="preserve">Coverage:</w:t>
      </w:r>
      <w:r>
        <w:t xml:space="preserve"> Metro Manila is fully supported today. Say “expanding to Cavite, Batangas and Davao” until those regions are confirmed live.</w:t>
      </w:r>
    </w:p>
    <w:p>
      <w:pPr>
        <w:pStyle w:val="ListParagraph"/>
        <w:numPr>
          <w:ilvl w:val="0"/>
          <w:numId w:val="2"/>
        </w:numPr>
        <w:spacing w:after="60"/>
      </w:pPr>
      <w:r>
        <w:rPr>
          <w:b/>
          <w:bCs/>
        </w:rPr>
        <w:t xml:space="preserve">Brand:</w:t>
      </w:r>
      <w:r>
        <w:t xml:space="preserve"> always “BSA” or “Business Site Analysis by Grid Property Ventures”. The brand name is GRID Property Ventures; write “Grid Property Ventures” in running text.</w:t>
      </w:r>
    </w:p>
    <w:p>
      <w:pPr>
        <w:pStyle w:val="ListParagraph"/>
        <w:numPr>
          <w:ilvl w:val="0"/>
          <w:numId w:val="2"/>
        </w:numPr>
        <w:spacing w:after="60"/>
      </w:pPr>
      <w:r>
        <w:rPr>
          <w:b/>
          <w:bCs/>
        </w:rPr>
        <w:t xml:space="preserve">Screenshots:</w:t>
      </w:r>
      <w:r>
        <w:t xml:space="preserve"> use real product screens; never show real client names or addresses without consent (Data Privacy Act, RA 10173).</w:t>
      </w:r>
    </w:p>
    <w:p>
      <w:pPr>
        <w:pStyle w:val="Heading1"/>
        <w:pageBreakBefore/>
      </w:pPr>
      <w:r>
        <w:t xml:space="preserve">3.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Element</w:t>
            </w:r>
          </w:p>
        </w:tc>
        <w:tc>
          <w:tcPr>
            <w:tcW w:type="dxa" w:w="722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Statement</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Audience</w:t>
            </w:r>
          </w:p>
        </w:tc>
        <w:tc>
          <w:tcPr>
            <w:tcW w:type="dxa" w:w="722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Licensed brokers and franchise developers, franchisor expansion teams, and franchisees or independent operators choosing where to open in the Philippines.</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Problem</w:t>
            </w:r>
          </w:p>
        </w:tc>
        <w:tc>
          <w:tcPr>
            <w:tcW w:type="dxa" w:w="722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Site decisions are made on instinct and scattered spreadsheets: cannibalisation of existing branches is spotted too late, rent is negotiated blind, and figures can’t be defended to a client.</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Promise</w:t>
            </w:r>
          </w:p>
        </w:tc>
        <w:tc>
          <w:tcPr>
            <w:tcW w:type="dxa" w:w="722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Check a site before you commit — one clear, evidence-backed call for every candidate location.</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How</w:t>
            </w:r>
          </w:p>
        </w:tc>
        <w:tc>
          <w:tcPr>
            <w:tcW w:type="dxa" w:w="722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BSA analyses territory overlap, rent position, demand timing and nearby white-space, then rolls them into Proceed, Proceed with caution or No-Go — with every figure labelled for how far you can trust it.</w:t>
            </w:r>
          </w:p>
        </w:tc>
      </w:tr>
      <w:tr>
        <w:tc>
          <w:tcPr>
            <w:tcW w:type="dxa" w:w="180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Proof points</w:t>
            </w:r>
          </w:p>
        </w:tc>
        <w:tc>
          <w:tcPr>
            <w:tcW w:type="dxa" w:w="722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Up to 5 sites per run · results in about 1–2 minutes · 160+ franchise brands to screen · branded client-ready PDF · Verified / Assumed / Projected on every figure.</w:t>
            </w:r>
          </w:p>
        </w:tc>
      </w:tr>
      <w:tr>
        <w:tc>
          <w:tcPr>
            <w:tcW w:type="dxa" w:w="180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Personality</w:t>
            </w:r>
          </w:p>
        </w:tc>
        <w:tc>
          <w:tcPr>
            <w:tcW w:type="dxa" w:w="722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Clear, confident, honest, practical. Speaks like an experienced Filipino broker — no hype, no jargon.</w:t>
            </w:r>
          </w:p>
        </w:tc>
      </w:tr>
    </w:tbl>
    <w:p>
      <w:pPr>
        <w:spacing w:after="120"/>
      </w:pPr>
    </w:p>
    <w:p>
      <w:pPr>
        <w:pStyle w:val="Heading2"/>
      </w:pPr>
      <w:r>
        <w:t xml:space="preserve">3.1 Messaging pillars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791"/>
        <w:gridCol w:w="3610"/>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Pillar</w:t>
            </w:r>
          </w:p>
        </w:tc>
        <w:tc>
          <w:tcPr>
            <w:tcW w:type="dxa" w:w="379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Message</w:t>
            </w:r>
          </w:p>
        </w:tc>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Supported by</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Clarity</w:t>
            </w:r>
          </w:p>
        </w:tc>
        <w:tc>
          <w:tcPr>
            <w:tcW w:type="dxa" w:w="379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One call per site, in plain language.</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Proceed / Proceed with caution / No-Go, “what drove this call”.</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Protection</w:t>
            </w:r>
          </w:p>
        </w:tc>
        <w:tc>
          <w:tcPr>
            <w:tcW w:type="dxa" w:w="379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Don’t open a branch that steals from your own.</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Territory Guard cannibalisation and overlap.</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Honesty</w:t>
            </w:r>
          </w:p>
        </w:tc>
        <w:tc>
          <w:tcPr>
            <w:tcW w:type="dxa" w:w="379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Know which numbers are measured and which are estimated.</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Truth Layer: Verified / Assumed / Projected.</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b/>
                <w:bCs/>
                <w:sz w:val="19"/>
                <w:szCs w:val="19"/>
              </w:rPr>
              <w:t xml:space="preserve">Speed</w:t>
            </w:r>
          </w:p>
        </w:tc>
        <w:tc>
          <w:tcPr>
            <w:tcW w:type="dxa" w:w="379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From shortlist to recommendation in minutes, not weeks.</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Automated analysis of up to 5 sites.</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b/>
                <w:bCs/>
                <w:sz w:val="19"/>
                <w:szCs w:val="19"/>
              </w:rPr>
              <w:t xml:space="preserve">Credibility</w:t>
            </w:r>
          </w:p>
        </w:tc>
        <w:tc>
          <w:tcPr>
            <w:tcW w:type="dxa" w:w="379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Walk into the client meeting with a report you can defend.</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Branded site PDF and full run report.</w:t>
            </w:r>
          </w:p>
        </w:tc>
      </w:tr>
    </w:tbl>
    <w:p>
      <w:pPr>
        <w:pStyle w:val="Heading1"/>
        <w:pageBreakBefore/>
      </w:pPr>
      <w:r>
        <w:t xml:space="preserve">4. Taglines and headlines</w:t>
      </w:r>
    </w:p>
    <w:p>
      <w:pPr>
        <w:pStyle w:val="Heading2"/>
      </w:pPr>
      <w:r>
        <w:t xml:space="preserve">4.1 Primary 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Check a site before you commit.</w:t>
            </w:r>
          </w:p>
        </w:tc>
      </w:tr>
    </w:tbl>
    <w:p>
      <w:pPr>
        <w:spacing w:after="120"/>
      </w:pPr>
    </w:p>
    <w:p>
      <w:pPr>
        <w:pStyle w:val="Heading2"/>
      </w:pPr>
      <w:r>
        <w:t xml:space="preserve">4.2 Alternatives</w:t>
      </w:r>
    </w:p>
    <w:p>
      <w:pPr>
        <w:pStyle w:val="ListParagraph"/>
        <w:numPr>
          <w:ilvl w:val="0"/>
          <w:numId w:val="2"/>
        </w:numPr>
        <w:spacing w:after="60"/>
      </w:pPr>
      <w:r>
        <w:t xml:space="preserve">The right site, backed by evidence.</w:t>
      </w:r>
    </w:p>
    <w:p>
      <w:pPr>
        <w:pStyle w:val="ListParagraph"/>
        <w:numPr>
          <w:ilvl w:val="0"/>
          <w:numId w:val="2"/>
        </w:numPr>
        <w:spacing w:after="60"/>
      </w:pPr>
      <w:r>
        <w:t xml:space="preserve">Every site. One clear call.</w:t>
      </w:r>
    </w:p>
    <w:p>
      <w:pPr>
        <w:pStyle w:val="ListParagraph"/>
        <w:numPr>
          <w:ilvl w:val="0"/>
          <w:numId w:val="2"/>
        </w:numPr>
        <w:spacing w:after="60"/>
      </w:pPr>
      <w:r>
        <w:t xml:space="preserve">Open where it adds — not where it takes.</w:t>
      </w:r>
    </w:p>
    <w:p>
      <w:pPr>
        <w:pStyle w:val="ListParagraph"/>
        <w:numPr>
          <w:ilvl w:val="0"/>
          <w:numId w:val="2"/>
        </w:numPr>
        <w:spacing w:after="60"/>
      </w:pPr>
      <w:r>
        <w:t xml:space="preserve">Site decisions you can defend.</w:t>
      </w:r>
    </w:p>
    <w:p>
      <w:pPr>
        <w:pStyle w:val="ListParagraph"/>
        <w:numPr>
          <w:ilvl w:val="0"/>
          <w:numId w:val="2"/>
        </w:numPr>
        <w:spacing w:after="60"/>
      </w:pPr>
      <w:r>
        <w:t xml:space="preserve">Know before you sign.</w:t>
      </w:r>
    </w:p>
    <w:p>
      <w:pPr>
        <w:pStyle w:val="Heading2"/>
      </w:pPr>
      <w:r>
        <w:t xml:space="preserve">4.3 Headlines by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3972"/>
      </w:tblGrid>
      <w:tr>
        <w:trPr>
          <w:tblHeader/>
        </w:trPr>
        <w:tc>
          <w:tcPr>
            <w:tcW w:type="dxa" w:w="144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Audience</w:t>
            </w:r>
          </w:p>
        </w:tc>
        <w:tc>
          <w:tcPr>
            <w:tcW w:type="dxa" w:w="361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Headline</w:t>
            </w:r>
          </w:p>
        </w:tc>
        <w:tc>
          <w:tcPr>
            <w:tcW w:type="dxa" w:w="3972"/>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Sub-headline</w:t>
            </w:r>
          </w:p>
        </w:tc>
      </w:tr>
      <w:tr>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Brokers</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Win the mandate with evidence, not opinion.</w:t>
            </w:r>
          </w:p>
        </w:tc>
        <w:tc>
          <w:tcPr>
            <w:tcW w:type="dxa" w:w="397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 clear call and a branded report for every site your client is considering.</w:t>
            </w:r>
          </w:p>
        </w:tc>
      </w:tr>
      <w:tr>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Franchisors</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Grow the network without cannibalising it.</w:t>
            </w:r>
          </w:p>
        </w:tc>
        <w:tc>
          <w:tcPr>
            <w:tcW w:type="dxa" w:w="397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See how much a new branch would take from the ones you already run — before you open it.</w:t>
            </w:r>
          </w:p>
        </w:tc>
      </w:tr>
      <w:tr>
        <w:tc>
          <w:tcPr>
            <w:tcW w:type="dxa" w:w="144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Franchisees</w:t>
            </w:r>
          </w:p>
        </w:tc>
        <w:tc>
          <w:tcPr>
            <w:tcW w:type="dxa" w:w="361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Pick the brand you can afford. Then the site that works.</w:t>
            </w:r>
          </w:p>
        </w:tc>
        <w:tc>
          <w:tcPr>
            <w:tcW w:type="dxa" w:w="3972"/>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Screen 160+ franchise brands by budget and space, then check your sites in minutes.</w:t>
            </w:r>
          </w:p>
        </w:tc>
      </w:tr>
      <w:tr>
        <w:tc>
          <w:tcPr>
            <w:tcW w:type="dxa" w:w="144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General</w:t>
            </w:r>
          </w:p>
        </w:tc>
        <w:tc>
          <w:tcPr>
            <w:tcW w:type="dxa" w:w="361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Five sites. Two minutes. One clear answer each.</w:t>
            </w:r>
          </w:p>
        </w:tc>
        <w:tc>
          <w:tcPr>
            <w:tcW w:type="dxa" w:w="3972"/>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Territory, rent position, demand timing and white-space — rolled into one call.</w:t>
            </w:r>
          </w:p>
        </w:tc>
      </w:tr>
    </w:tbl>
    <w:p>
      <w:pPr>
        <w:pStyle w:val="Heading1"/>
        <w:pageBreakBefore/>
      </w:pPr>
      <w:r>
        <w:t xml:space="preserve">5. Product descriptions</w:t>
      </w:r>
    </w:p>
    <w:p>
      <w:pPr>
        <w:pStyle w:val="Heading3"/>
      </w:pPr>
      <w:r>
        <w:t xml:space="preserve">25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BSA by Grid Property Ventures checks up to five candidate sites and gives each a clear Proceed, Proceed with caution or No-Go call — backed by evidence.</w:t>
            </w:r>
          </w:p>
        </w:tc>
      </w:tr>
    </w:tbl>
    <w:p>
      <w:pPr>
        <w:spacing w:after="120"/>
      </w:pPr>
    </w:p>
    <w:p>
      <w:pPr>
        <w:pStyle w:val="Heading3"/>
      </w:pPr>
      <w:r>
        <w:t xml:space="preserve">50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Business Site Analysis (BSA) helps Filipino brokers, franchisors and franchisees decide where to open. Enter up to five candidate sites and BSA checks territory overlap, rent position, demand timing and nearby white-space, then gives each site one clear call — with every figure labelled Verified, Assumed or Projected.</w:t>
            </w:r>
          </w:p>
        </w:tc>
      </w:tr>
    </w:tbl>
    <w:p>
      <w:pPr>
        <w:spacing w:after="120"/>
      </w:pPr>
    </w:p>
    <w:p>
      <w:pPr>
        <w:pStyle w:val="Heading3"/>
      </w:pPr>
      <w:r>
        <w:t xml:space="preserve">100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Choosing a site is the biggest decision a franchise makes — and it is still made on instinct. Business Site Analysis (BSA) by Grid Property Ventures changes that. Screen franchise brands by budget and floor area, pin up to five candidate sites, and BSA analyses each one in minutes: will it add sales or take them from your existing branches, where the asking rent sits among comparable leases, when demand actually shows up, and whether a nearby area would serve you better. Each site gets a clear Proceed, Proceed with caution or No-Go call, the reasons behind it, and a branded report you can share with your client.</w:t>
            </w:r>
          </w:p>
        </w:tc>
      </w:tr>
    </w:tbl>
    <w:p>
      <w:pPr>
        <w:spacing w:after="120"/>
      </w:pPr>
    </w:p>
    <w:p>
      <w:pPr>
        <w:pStyle w:val="Heading3"/>
      </w:pPr>
      <w:r>
        <w:t xml:space="preserve">200 words (brochure / About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In the Philippines there is no MLS, lease information is scattered, and many franchise branches are opened on gut feel — only to discover later that they are taking sales from the brand’s own stores. Business Site Analysis (BSA) by Grid Property Ventures gives brokers and franchise teams the evidence they need before anyone signs a lease. Start with Franchise Screening: set a budget and the floor area available and BSA ranks 160+ franchise brands by fit. Then enter an intake, pin up to five candidate sites on the map, and BSA does the rest. Territory Guard measures overlap and cannibalisation with existing branches. Lease Benchmark shows where an asking rent sits among comparable leases in the corridor — a reference point, never a price opinion. Daypart &amp; Seasonality checks whether foot traffic arrives when your format needs it. White-Space finds nearby areas with demand and less competition. Each site gets one clear call — Proceed, Proceed with caution or No-Go — plus the findings that drove it, a confidence level and a Verified, Assumed or Projected label on every figure. Share it as a branded PDF. BSA sharpens the analysis; the licensed broker still advises the client and closes the deal.</w:t>
            </w:r>
          </w:p>
        </w:tc>
      </w:tr>
    </w:tbl>
    <w:p>
      <w:pPr>
        <w:pStyle w:val="Heading1"/>
        <w:pageBreakBefore/>
      </w:pPr>
      <w:r>
        <w:t xml:space="preserve">6. Feature and benefit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347"/>
        <w:gridCol w:w="5054"/>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Feature</w:t>
            </w:r>
          </w:p>
        </w:tc>
        <w:tc>
          <w:tcPr>
            <w:tcW w:type="dxa" w:w="2347"/>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Headline</w:t>
            </w:r>
          </w:p>
        </w:tc>
        <w:tc>
          <w:tcPr>
            <w:tcW w:type="dxa" w:w="5054"/>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Body copy</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Franchise Screening</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Start with brands that fit.</w:t>
            </w:r>
          </w:p>
        </w:tc>
        <w:tc>
          <w:tcPr>
            <w:tcW w:type="dxa" w:w="505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Set your budget and available floor area. BSA ranks 160+ franchise brands by fit — investment, franchise fee, space and payback side by side — and flags the ones out of reach.</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Guided intake</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Ten minutes to set up. Five sites at once.</w:t>
            </w:r>
          </w:p>
        </w:tc>
        <w:tc>
          <w:tcPr>
            <w:tcW w:type="dxa" w:w="505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A four-step intake captures the brand, the brief, your existing branches and up to five candidate sites, pinned exactly on the map.</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Territory Guard</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Add sales — don’t move them.</w:t>
            </w:r>
          </w:p>
        </w:tc>
        <w:tc>
          <w:tcPr>
            <w:tcW w:type="dxa" w:w="505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See how much each new site overlaps the trade areas of your existing branches and how much it could take from them, alongside the competitors already in the catchment.</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Lease Benchmark</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Know where the rent sits.</w:t>
            </w:r>
          </w:p>
        </w:tc>
        <w:tc>
          <w:tcPr>
            <w:tcW w:type="dxa" w:w="505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Compare an asking rent with comparable leases in the corridor and see its position in the spread. BIR zonal values are shown for tax reference only. A reference point — never a price opinion.</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Daypart &amp; Seasonality</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Open where your customers already are — when they are there.</w:t>
            </w:r>
          </w:p>
        </w:tc>
        <w:tc>
          <w:tcPr>
            <w:tcW w:type="dxa" w:w="505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Check whether demand peaks in your format’s busy hours, office-led midday or residential evenings, and how the season shifts it.</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White-Space</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Find the better spot nearby.</w:t>
            </w:r>
          </w:p>
        </w:tc>
        <w:tc>
          <w:tcPr>
            <w:tcW w:type="dxa" w:w="505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BSA scans the surrounding barangays for areas with demand and little competition, ranked and mapped.</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Final Report</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One clear call per site.</w:t>
            </w:r>
          </w:p>
        </w:tc>
        <w:tc>
          <w:tcPr>
            <w:tcW w:type="dxa" w:w="505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Proceed, Proceed with caution or No-Go, the score, the rank, confidence, and the findings that drove the call — every figure labelled for trust.</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Truth Layer</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Know what is measured and what is estimated.</w:t>
            </w:r>
          </w:p>
        </w:tc>
        <w:tc>
          <w:tcPr>
            <w:tcW w:type="dxa" w:w="505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Every number carries a label: Verified (sourced), Assumed (reasoned estimate) or Projected (modelled). No fabricated zeros — missing data says so.</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Reports</w:t>
            </w:r>
          </w:p>
        </w:tc>
        <w:tc>
          <w:tcPr>
            <w:tcW w:type="dxa" w:w="2347"/>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Walk into the meeting with something to leave behind.</w:t>
            </w:r>
          </w:p>
        </w:tc>
        <w:tc>
          <w:tcPr>
            <w:tcW w:type="dxa" w:w="5054"/>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Export a branded site PDF or a full run report for all sites, with your client’s details on the cover.</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Light and dark modes</w:t>
            </w:r>
          </w:p>
        </w:tc>
        <w:tc>
          <w:tcPr>
            <w:tcW w:type="dxa" w:w="2347"/>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Readable in the office and on site.</w:t>
            </w:r>
          </w:p>
        </w:tc>
        <w:tc>
          <w:tcPr>
            <w:tcW w:type="dxa" w:w="5054"/>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Switch to light mode for bright outdoor site visits; works on phone, tablet and desktop.</w:t>
            </w:r>
          </w:p>
        </w:tc>
      </w:tr>
    </w:tbl>
    <w:p>
      <w:pPr>
        <w:pStyle w:val="Heading1"/>
        <w:pageBreakBefore/>
      </w:pPr>
      <w:r>
        <w:t xml:space="preserve">7. Messages by audience</w:t>
      </w:r>
    </w:p>
    <w:p>
      <w:pPr>
        <w:pStyle w:val="Heading2"/>
      </w:pPr>
      <w:r>
        <w:t xml:space="preserve">7.1 Brokers and franchise developers</w:t>
      </w:r>
    </w:p>
    <w:p>
      <w:pPr>
        <w:pStyle w:val="ListParagraph"/>
        <w:numPr>
          <w:ilvl w:val="0"/>
          <w:numId w:val="2"/>
        </w:numPr>
        <w:spacing w:after="60"/>
      </w:pPr>
      <w:r>
        <w:t xml:space="preserve">Turn a site tour into a recommendation the same day.</w:t>
      </w:r>
    </w:p>
    <w:p>
      <w:pPr>
        <w:pStyle w:val="ListParagraph"/>
        <w:numPr>
          <w:ilvl w:val="0"/>
          <w:numId w:val="2"/>
        </w:numPr>
        <w:spacing w:after="60"/>
      </w:pPr>
      <w:r>
        <w:t xml:space="preserve">Give clients evidence, not opinions — every figure shows where it came from.</w:t>
      </w:r>
    </w:p>
    <w:p>
      <w:pPr>
        <w:pStyle w:val="ListParagraph"/>
        <w:numPr>
          <w:ilvl w:val="0"/>
          <w:numId w:val="2"/>
        </w:numPr>
        <w:spacing w:after="60"/>
      </w:pPr>
      <w:r>
        <w:t xml:space="preserve">Stay in your lane on price: BSA shows rent position, you give the advice (RA 9646).</w:t>
      </w:r>
    </w:p>
    <w:p>
      <w:pPr>
        <w:pStyle w:val="ListParagraph"/>
        <w:numPr>
          <w:ilvl w:val="0"/>
          <w:numId w:val="2"/>
        </w:numPr>
        <w:spacing w:after="60"/>
      </w:pPr>
      <w:r>
        <w:t xml:space="preserve">Look sharper than the competition with branded, client-ready reports.</w:t>
      </w:r>
    </w:p>
    <w:p>
      <w:pPr>
        <w:pStyle w:val="Heading2"/>
      </w:pPr>
      <w:r>
        <w:t xml:space="preserve">7.2 Franchisor expansion teams</w:t>
      </w:r>
    </w:p>
    <w:p>
      <w:pPr>
        <w:pStyle w:val="ListParagraph"/>
        <w:numPr>
          <w:ilvl w:val="0"/>
          <w:numId w:val="2"/>
        </w:numPr>
        <w:spacing w:after="60"/>
      </w:pPr>
      <w:r>
        <w:t xml:space="preserve">Protect existing franchisees: see cannibalisation before you approve a new branch.</w:t>
      </w:r>
    </w:p>
    <w:p>
      <w:pPr>
        <w:pStyle w:val="ListParagraph"/>
        <w:numPr>
          <w:ilvl w:val="0"/>
          <w:numId w:val="2"/>
        </w:numPr>
        <w:spacing w:after="60"/>
      </w:pPr>
      <w:r>
        <w:t xml:space="preserve">Compare five candidate sites side by side with one consistent method.</w:t>
      </w:r>
    </w:p>
    <w:p>
      <w:pPr>
        <w:pStyle w:val="ListParagraph"/>
        <w:numPr>
          <w:ilvl w:val="0"/>
          <w:numId w:val="2"/>
        </w:numPr>
        <w:spacing w:after="60"/>
      </w:pPr>
      <w:r>
        <w:t xml:space="preserve">Spot white-space your network has not reached yet.</w:t>
      </w:r>
    </w:p>
    <w:p>
      <w:pPr>
        <w:pStyle w:val="Heading2"/>
      </w:pPr>
      <w:r>
        <w:t xml:space="preserve">7.3 Franchisees and independent operators</w:t>
      </w:r>
    </w:p>
    <w:p>
      <w:pPr>
        <w:pStyle w:val="ListParagraph"/>
        <w:numPr>
          <w:ilvl w:val="0"/>
          <w:numId w:val="2"/>
        </w:numPr>
        <w:spacing w:after="60"/>
      </w:pPr>
      <w:r>
        <w:t xml:space="preserve">Find brands that fit your budget and the space you have.</w:t>
      </w:r>
    </w:p>
    <w:p>
      <w:pPr>
        <w:pStyle w:val="ListParagraph"/>
        <w:numPr>
          <w:ilvl w:val="0"/>
          <w:numId w:val="2"/>
        </w:numPr>
        <w:spacing w:after="60"/>
      </w:pPr>
      <w:r>
        <w:t xml:space="preserve">Understand a site in plain language before you sign a multi-year lease.</w:t>
      </w:r>
    </w:p>
    <w:p>
      <w:pPr>
        <w:pStyle w:val="ListParagraph"/>
        <w:numPr>
          <w:ilvl w:val="0"/>
          <w:numId w:val="2"/>
        </w:numPr>
        <w:spacing w:after="60"/>
      </w:pPr>
      <w:r>
        <w:t xml:space="preserve">Bring the report to your broker and franchisor — everyone works from the same facts.</w:t>
      </w:r>
    </w:p>
    <w:p>
      <w:pPr>
        <w:pStyle w:val="Heading1"/>
        <w:pageBreakBefore/>
      </w:pPr>
      <w:r>
        <w:t xml:space="preserve">8. Landing page copy</w:t>
      </w:r>
    </w:p>
    <w:p>
      <w:pPr>
        <w:pStyle w:val="Heading3"/>
      </w:pPr>
      <w:r>
        <w:t xml:space="preserve">Hero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Check a site before you commit. — Territory, rent position, demand timing and white-space for up to five sites, rolled into one clear call you can take to your client. [Request a demo]  [See how it works]</w:t>
            </w:r>
          </w:p>
        </w:tc>
      </w:tr>
    </w:tbl>
    <w:p>
      <w:pPr>
        <w:spacing w:after="120"/>
      </w:pPr>
    </w:p>
    <w:p>
      <w:pPr>
        <w:pStyle w:val="Heading3"/>
      </w:pPr>
      <w:r>
        <w:t xml:space="preserve">Problem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Most branches are opened on instinct. By the time you learn a new store is taking sales from your own, the lease is signed. BSA puts the evidence on the table first.</w:t>
            </w:r>
          </w:p>
        </w:tc>
      </w:tr>
    </w:tbl>
    <w:p>
      <w:pPr>
        <w:spacing w:after="120"/>
      </w:pPr>
    </w:p>
    <w:p>
      <w:pPr>
        <w:pStyle w:val="Heading3"/>
      </w:pPr>
      <w:r>
        <w:t xml:space="preserve">How it works (3 steps)</w:t>
      </w:r>
    </w:p>
    <w:p>
      <w:pPr>
        <w:pStyle w:val="ListParagraph"/>
        <w:numPr>
          <w:ilvl w:val="0"/>
          <w:numId w:val="3"/>
        </w:numPr>
        <w:spacing w:after="60"/>
      </w:pPr>
      <w:r>
        <w:rPr>
          <w:b/>
          <w:bCs/>
        </w:rPr>
        <w:t xml:space="preserve">Screen</w:t>
      </w:r>
      <w:r>
        <w:t xml:space="preserve"> — set your budget and floor area; BSA ranks the franchise brands that fit.</w:t>
      </w:r>
    </w:p>
    <w:p>
      <w:pPr>
        <w:pStyle w:val="ListParagraph"/>
        <w:numPr>
          <w:ilvl w:val="0"/>
          <w:numId w:val="3"/>
        </w:numPr>
        <w:spacing w:after="60"/>
      </w:pPr>
      <w:r>
        <w:rPr>
          <w:b/>
          <w:bCs/>
        </w:rPr>
        <w:t xml:space="preserve">Pin</w:t>
      </w:r>
      <w:r>
        <w:t xml:space="preserve"> — enter the brief and pin up to five candidate sites on the map.</w:t>
      </w:r>
    </w:p>
    <w:p>
      <w:pPr>
        <w:pStyle w:val="ListParagraph"/>
        <w:numPr>
          <w:ilvl w:val="0"/>
          <w:numId w:val="3"/>
        </w:numPr>
        <w:spacing w:after="60"/>
      </w:pPr>
      <w:r>
        <w:rPr>
          <w:b/>
          <w:bCs/>
        </w:rPr>
        <w:t xml:space="preserve">Decide</w:t>
      </w:r>
      <w:r>
        <w:t xml:space="preserve"> — get a Proceed, Proceed with caution or No-Go call for every site, with the reasons and a shareable report.</w:t>
      </w:r>
    </w:p>
    <w:p>
      <w:pPr>
        <w:pStyle w:val="Heading3"/>
      </w:pPr>
      <w:r>
        <w:t xml:space="preserve">Trust strip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Every figure labelled Verified, Assumed or Projected · Built for licensed brokers (RA 9646) · Branded reports for your clients</w:t>
            </w:r>
          </w:p>
        </w:tc>
      </w:tr>
    </w:tbl>
    <w:p>
      <w:pPr>
        <w:spacing w:after="120"/>
      </w:pPr>
    </w:p>
    <w:p>
      <w:pPr>
        <w:pStyle w:val="Heading3"/>
      </w:pPr>
      <w:r>
        <w:t xml:space="preserve">Closing call to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Your next site deserves more than a hunch. Book a 20-minute demo with Grid Property Ventures.</w:t>
            </w:r>
          </w:p>
        </w:tc>
      </w:tr>
    </w:tbl>
    <w:p>
      <w:pPr>
        <w:pStyle w:val="Heading1"/>
        <w:pageBreakBefore/>
      </w:pPr>
      <w:r>
        <w:t xml:space="preserve">9. Social media</w:t>
      </w:r>
    </w:p>
    <w:p>
      <w:pPr>
        <w:pStyle w:val="Heading2"/>
      </w:pPr>
      <w:r>
        <w:t xml:space="preserve">9.1 LinkedIn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Opening a new branch? The question isn’t only “is this a good location?” — it’s “will this branch add sales, or take them from the stores we already run?” Business Site Analysis (BSA) by Grid Property Ventures checks up to five candidate sites at once and gives each a clear Proceed, Proceed with caution or No-Go call, with the evidence behind it. Built for brokers and franchise teams in the Philippines. #Franchise #RealEstatePH #SiteSelection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We built BSA around one rule: every number should tell you how far to trust it. Verified, Assumed or Projected — on every figure, in every report. Because your client deserves to know the difference. #GridPropertyVentures #BSA</w:t>
            </w:r>
          </w:p>
        </w:tc>
      </w:tr>
    </w:tbl>
    <w:p>
      <w:pPr>
        <w:spacing w:after="120"/>
      </w:pPr>
    </w:p>
    <w:p>
      <w:pPr>
        <w:pStyle w:val="Heading2"/>
      </w:pPr>
      <w:r>
        <w:t xml:space="preserve">9.2 Facebook / Instagram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Five sites. Two minutes. One clear answer each. ✔ Proceed ▲ Caution ✕ No-Go — BSA by Grid Property Ventures. Check a site before you commit.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Sigurado ka na ba sa pwesto? Check muna gamit ang BSA bago pumirma ng lease. Isang malinaw na sagot para sa bawat site — Proceed, Caution o No-Go.</w:t>
            </w:r>
          </w:p>
        </w:tc>
      </w:tr>
    </w:tbl>
    <w:p>
      <w:pPr>
        <w:spacing w:after="120"/>
      </w:pPr>
      <w:r>
        <w:rPr>
          <w:i/>
          <w:iCs/>
          <w:color w:val="4A5873"/>
          <w:sz w:val="18"/>
          <w:szCs w:val="18"/>
        </w:rPr>
        <w:t xml:space="preserve">Taglish lines should be reviewed by a native-speaking copywriter before posting.</w:t>
      </w:r>
    </w:p>
    <w:p>
      <w:pPr>
        <w:pStyle w:val="Heading2"/>
      </w:pPr>
      <w:r>
        <w:t xml:space="preserve">9.3 Hashtags</w:t>
      </w:r>
    </w:p>
    <w:p>
      <w:pPr>
        <w:spacing w:after="120"/>
      </w:pPr>
      <w:r>
        <w:t xml:space="preserve">#BSA #GridPropertyVentures #FranchisePH #RealEstatePH #SiteSelection #FranchiseExpansion #BrokerPH</w:t>
      </w:r>
    </w:p>
    <w:p>
      <w:pPr>
        <w:pStyle w:val="Heading1"/>
        <w:pageBreakBefore/>
      </w:pPr>
      <w:r>
        <w:t xml:space="preserve">10. Email</w:t>
      </w:r>
    </w:p>
    <w:p>
      <w:pPr>
        <w:pStyle w:val="Heading2"/>
      </w:pPr>
      <w:r>
        <w:t xml:space="preserve">10.1 Launch announcement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Field</w:t>
            </w:r>
          </w:p>
        </w:tc>
        <w:tc>
          <w:tcPr>
            <w:tcW w:type="dxa" w:w="740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Copy</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Subject</w:t>
            </w:r>
          </w:p>
        </w:tc>
        <w:tc>
          <w:tcPr>
            <w:tcW w:type="dxa" w:w="740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Check a site before you commit — introducing BSA</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Preview text</w:t>
            </w:r>
          </w:p>
        </w:tc>
        <w:tc>
          <w:tcPr>
            <w:tcW w:type="dxa" w:w="740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One clear call for every candidate location, in minutes.</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Body</w:t>
            </w:r>
          </w:p>
        </w:tc>
        <w:tc>
          <w:tcPr>
            <w:tcW w:type="dxa" w:w="740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Hi {First name},</w:t>
            </w:r>
          </w:p>
          <w:p>
            <w:pPr>
              <w:spacing w:after="0"/>
            </w:pPr>
            <w:r>
              <w:rPr>
                <w:sz w:val="19"/>
                <w:szCs w:val="19"/>
              </w:rPr>
              <w:t xml:space="preserve">Choosing where to open is the biggest decision a franchise makes. Today we’re introducing Business Site Analysis (BSA), Grid Property Ventures’ tool for checking candidate sites before anyone signs.</w:t>
            </w:r>
          </w:p>
          <w:p>
            <w:pPr>
              <w:spacing w:after="0"/>
            </w:pPr>
            <w:r>
              <w:rPr>
                <w:sz w:val="19"/>
                <w:szCs w:val="19"/>
              </w:rPr>
              <w:t xml:space="preserve">Pin up to five sites and BSA shows, for each one: whether it adds sales or takes them from existing branches, where the asking rent sits among comparable leases, when demand arrives, and nearby areas worth a look. Then it gives one clear call — Proceed, Proceed with caution or No-Go — with every figure labelled Verified, Assumed or Projected.</w:t>
            </w:r>
          </w:p>
          <w:p>
            <w:pPr>
              <w:spacing w:after="0"/>
            </w:pPr>
            <w:r>
              <w:rPr>
                <w:sz w:val="19"/>
                <w:szCs w:val="19"/>
              </w:rPr>
              <w:t xml:space="preserve">Would a 20-minute demo be useful this week?</w:t>
            </w:r>
          </w:p>
          <w:p>
            <w:pPr>
              <w:spacing w:after="0"/>
            </w:pPr>
            <w:r>
              <w:rPr>
                <w:sz w:val="19"/>
                <w:szCs w:val="19"/>
              </w:rPr>
              <w:t xml:space="preserve">{Signature}</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Call to action</w:t>
            </w:r>
          </w:p>
        </w:tc>
        <w:tc>
          <w:tcPr>
            <w:tcW w:type="dxa" w:w="740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Book a demo</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Footer notice</w:t>
            </w:r>
          </w:p>
        </w:tc>
        <w:tc>
          <w:tcPr>
            <w:tcW w:type="dxa" w:w="740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BSA is decision support for licensed real estate practitioners (RA 9646). It does not appraise property or give price opinions.</w:t>
            </w:r>
          </w:p>
        </w:tc>
      </w:tr>
    </w:tbl>
    <w:p>
      <w:pPr>
        <w:spacing w:after="120"/>
      </w:pPr>
    </w:p>
    <w:p>
      <w:pPr>
        <w:pStyle w:val="Heading2"/>
      </w:pPr>
      <w:r>
        <w:t xml:space="preserve">10.2 Follow-up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401"/>
      </w:tblGrid>
      <w:tr>
        <w:trPr>
          <w:tblHeader/>
        </w:trPr>
        <w:tc>
          <w:tcPr>
            <w:tcW w:type="dxa" w:w="1625"/>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Field</w:t>
            </w:r>
          </w:p>
        </w:tc>
        <w:tc>
          <w:tcPr>
            <w:tcW w:type="dxa" w:w="7401"/>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Copy</w:t>
            </w:r>
          </w:p>
        </w:tc>
      </w:tr>
      <w:tr>
        <w:tc>
          <w:tcPr>
            <w:tcW w:type="dxa" w:w="1625"/>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Subject</w:t>
            </w:r>
          </w:p>
        </w:tc>
        <w:tc>
          <w:tcPr>
            <w:tcW w:type="dxa" w:w="7401"/>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What would BSA say about your next site?</w:t>
            </w:r>
          </w:p>
        </w:tc>
      </w:tr>
      <w:tr>
        <w:tc>
          <w:tcPr>
            <w:tcW w:type="dxa" w:w="1625"/>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Body</w:t>
            </w:r>
          </w:p>
        </w:tc>
        <w:tc>
          <w:tcPr>
            <w:tcW w:type="dxa" w:w="7401"/>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Hi {First name}, send us up to five locations you’re considering and we’ll run them through BSA in the demo — you’ll leave with a sample report. Reply with a time that works.</w:t>
            </w:r>
          </w:p>
        </w:tc>
      </w:tr>
    </w:tbl>
    <w:p>
      <w:pPr>
        <w:pStyle w:val="Heading1"/>
        <w:pageBreakBefore/>
      </w:pPr>
      <w:r>
        <w:t xml:space="preserve">11. Sales one-pager and demo script</w:t>
      </w:r>
    </w:p>
    <w:p>
      <w:pPr>
        <w:pStyle w:val="Heading2"/>
      </w:pPr>
      <w:r>
        <w:t xml:space="preserve">11.1 One-pager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Block</w:t>
            </w:r>
          </w:p>
        </w:tc>
        <w:tc>
          <w:tcPr>
            <w:tcW w:type="dxa" w:w="7040"/>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Copy</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Headline</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Check a site before you commit.</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Sub-headline</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One clear, evidence-backed call for every candidate location.</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Three benefits</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Protect your network (Territory Guard) · Know where the rent sits (Lease Benchmark) · Open where demand is (Daypart &amp; White-Space)</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How it works</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Screen → Pin → Decide (see section 8)</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Proof</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Up to 5 sites per run · results in about 1–2 minutes · 160+ brands · Verified / Assumed / Projected on every figure</w:t>
            </w:r>
          </w:p>
        </w:tc>
      </w:tr>
      <w:tr>
        <w:tc>
          <w:tcPr>
            <w:tcW w:type="dxa" w:w="1986"/>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Call to action</w:t>
            </w:r>
          </w:p>
        </w:tc>
        <w:tc>
          <w:tcPr>
            <w:tcW w:type="dxa" w:w="7040"/>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Book a demo with Grid Property Ventures</w:t>
            </w:r>
          </w:p>
        </w:tc>
      </w:tr>
      <w:tr>
        <w:tc>
          <w:tcPr>
            <w:tcW w:type="dxa" w:w="1986"/>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Notice</w:t>
            </w:r>
          </w:p>
        </w:tc>
        <w:tc>
          <w:tcPr>
            <w:tcW w:type="dxa" w:w="7040"/>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Required RA 9646 notice (section 2)</w:t>
            </w:r>
          </w:p>
        </w:tc>
      </w:tr>
    </w:tbl>
    <w:p>
      <w:pPr>
        <w:spacing w:after="120"/>
      </w:pPr>
    </w:p>
    <w:p>
      <w:pPr>
        <w:pStyle w:val="Heading2"/>
      </w:pPr>
      <w:r>
        <w:t xml:space="preserve">11.2 Ten-minute demo script</w:t>
      </w:r>
    </w:p>
    <w:p>
      <w:pPr>
        <w:pStyle w:val="ListParagraph"/>
        <w:numPr>
          <w:ilvl w:val="0"/>
          <w:numId w:val="4"/>
        </w:numPr>
        <w:spacing w:after="60"/>
      </w:pPr>
      <w:r>
        <w:rPr>
          <w:b/>
          <w:bCs/>
        </w:rPr>
        <w:t xml:space="preserve">Open (1 min):</w:t>
      </w:r>
      <w:r>
        <w:t xml:space="preserve"> “Where is your next branch going — and how sure are you it won’t take sales from your current ones?”</w:t>
      </w:r>
    </w:p>
    <w:p>
      <w:pPr>
        <w:pStyle w:val="ListParagraph"/>
        <w:numPr>
          <w:ilvl w:val="0"/>
          <w:numId w:val="4"/>
        </w:numPr>
        <w:spacing w:after="60"/>
      </w:pPr>
      <w:r>
        <w:rPr>
          <w:b/>
          <w:bCs/>
        </w:rPr>
        <w:t xml:space="preserve">Franchise Screening (1 min):</w:t>
      </w:r>
      <w:r>
        <w:t xml:space="preserve"> set budget and space; show brands that fit.</w:t>
      </w:r>
    </w:p>
    <w:p>
      <w:pPr>
        <w:pStyle w:val="ListParagraph"/>
        <w:numPr>
          <w:ilvl w:val="0"/>
          <w:numId w:val="4"/>
        </w:numPr>
        <w:spacing w:after="60"/>
      </w:pPr>
      <w:r>
        <w:rPr>
          <w:b/>
          <w:bCs/>
        </w:rPr>
        <w:t xml:space="preserve">Intake (2 min):</w:t>
      </w:r>
      <w:r>
        <w:t xml:space="preserve"> use a demo scenario; pin three sites.</w:t>
      </w:r>
    </w:p>
    <w:p>
      <w:pPr>
        <w:pStyle w:val="ListParagraph"/>
        <w:numPr>
          <w:ilvl w:val="0"/>
          <w:numId w:val="4"/>
        </w:numPr>
        <w:spacing w:after="60"/>
      </w:pPr>
      <w:r>
        <w:rPr>
          <w:b/>
          <w:bCs/>
        </w:rPr>
        <w:t xml:space="preserve">Dashboard (2 min):</w:t>
      </w:r>
      <w:r>
        <w:t xml:space="preserve"> the verdict strip and ranked shortlist — “this is the 5-second answer”.</w:t>
      </w:r>
    </w:p>
    <w:p>
      <w:pPr>
        <w:pStyle w:val="ListParagraph"/>
        <w:numPr>
          <w:ilvl w:val="0"/>
          <w:numId w:val="4"/>
        </w:numPr>
        <w:spacing w:after="60"/>
      </w:pPr>
      <w:r>
        <w:rPr>
          <w:b/>
          <w:bCs/>
        </w:rPr>
        <w:t xml:space="preserve">Final Report (2 min):</w:t>
      </w:r>
      <w:r>
        <w:t xml:space="preserve"> the call, what drove it, the Truth Layer labels.</w:t>
      </w:r>
    </w:p>
    <w:p>
      <w:pPr>
        <w:pStyle w:val="ListParagraph"/>
        <w:numPr>
          <w:ilvl w:val="0"/>
          <w:numId w:val="4"/>
        </w:numPr>
        <w:spacing w:after="60"/>
      </w:pPr>
      <w:r>
        <w:rPr>
          <w:b/>
          <w:bCs/>
        </w:rPr>
        <w:t xml:space="preserve">Lease Benchmark (1 min):</w:t>
      </w:r>
      <w:r>
        <w:t xml:space="preserve"> type an asking rent — “this is position, not a price opinion; that is your expertise”.</w:t>
      </w:r>
    </w:p>
    <w:p>
      <w:pPr>
        <w:pStyle w:val="ListParagraph"/>
        <w:numPr>
          <w:ilvl w:val="0"/>
          <w:numId w:val="4"/>
        </w:numPr>
        <w:spacing w:after="60"/>
      </w:pPr>
      <w:r>
        <w:rPr>
          <w:b/>
          <w:bCs/>
        </w:rPr>
        <w:t xml:space="preserve">Close (1 min):</w:t>
      </w:r>
      <w:r>
        <w:t xml:space="preserve"> export the site PDF; agree next steps.</w:t>
      </w:r>
    </w:p>
    <w:p>
      <w:pPr>
        <w:pStyle w:val="Heading1"/>
        <w:pageBreakBefore/>
      </w:pPr>
      <w:r>
        <w:t xml:space="preserve">12. FAQ and boilerplate</w:t>
      </w:r>
    </w:p>
    <w:p>
      <w:pPr>
        <w:pStyle w:val="Heading2"/>
      </w:pPr>
      <w:r>
        <w:t xml:space="preserve">12.1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Question</w:t>
            </w:r>
          </w:p>
        </w:tc>
        <w:tc>
          <w:tcPr>
            <w:tcW w:type="dxa" w:w="6138"/>
            <w:tcBorders>
              <w:top w:val="single" w:color="D2D2D2" w:sz="4"/>
              <w:left w:val="single" w:color="D2D2D2" w:sz="4"/>
              <w:bottom w:val="single" w:color="D2D2D2" w:sz="4"/>
              <w:right w:val="single" w:color="D2D2D2" w:sz="4"/>
            </w:tcBorders>
            <w:shd w:fill="1C335E" w:color="auto" w:val="clear"/>
            <w:tcMar>
              <w:top w:type="dxa" w:w="70"/>
              <w:left w:type="dxa" w:w="110"/>
              <w:bottom w:type="dxa" w:w="70"/>
              <w:right w:type="dxa" w:w="110"/>
            </w:tcMar>
            <w:vAlign w:val="center"/>
          </w:tcPr>
          <w:p>
            <w:pPr>
              <w:spacing w:after="0"/>
            </w:pPr>
            <w:r>
              <w:rPr>
                <w:b/>
                <w:bCs/>
                <w:color w:val="FFFFFF"/>
                <w:sz w:val="19"/>
                <w:szCs w:val="19"/>
              </w:rPr>
              <w:t xml:space="preserve">Answer</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Does BSA tell me what a property is worth?</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No. BSA is decision support for licensed brokers. It shows where a rent sits among comparable leases and BIR zonal values as tax-reference floors — it never appraises or gives a price opinion.</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Where does the data come from?</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Public and professional sources such as OpenStreetMap, the Philippine Statistics Authority, BIR zonal schedules and comparable leases. Every figure is labelled Verified, Assumed or Projected.</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Which areas are covered?</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Metro Manila today, expanding to Cavite, Batangas and Davao.</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How many sites can I check?</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Up to five per analysis run; you can create as many runs as you need.</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How long does it take?</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About 10 minutes to set up the intake; the analysis itself takes about 1–2 minutes.</w:t>
            </w:r>
          </w:p>
        </w:tc>
      </w:tr>
      <w:tr>
        <w:tc>
          <w:tcPr>
            <w:tcW w:type="dxa" w:w="288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Can I share the results?</w:t>
            </w:r>
          </w:p>
        </w:tc>
        <w:tc>
          <w:tcPr>
            <w:tcW w:type="dxa" w:w="6138"/>
            <w:tcBorders>
              <w:top w:val="single" w:color="D2D2D2" w:sz="4"/>
              <w:left w:val="single" w:color="D2D2D2" w:sz="4"/>
              <w:bottom w:val="single" w:color="D2D2D2" w:sz="4"/>
              <w:right w:val="single" w:color="D2D2D2" w:sz="4"/>
            </w:tcBorders>
            <w:shd w:fill="F8F7F4" w:color="auto" w:val="clear"/>
            <w:tcMar>
              <w:top w:type="dxa" w:w="70"/>
              <w:left w:type="dxa" w:w="110"/>
              <w:bottom w:type="dxa" w:w="70"/>
              <w:right w:type="dxa" w:w="110"/>
            </w:tcMar>
            <w:vAlign w:val="center"/>
          </w:tcPr>
          <w:p>
            <w:pPr>
              <w:spacing w:after="0"/>
            </w:pPr>
            <w:r>
              <w:rPr>
                <w:sz w:val="19"/>
                <w:szCs w:val="19"/>
              </w:rPr>
              <w:t xml:space="preserve">Yes — export a branded site PDF or a full run report with your client’s details on the cover.</w:t>
            </w:r>
          </w:p>
        </w:tc>
      </w:tr>
      <w:tr>
        <w:tc>
          <w:tcPr>
            <w:tcW w:type="dxa" w:w="288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Is it AI?</w:t>
            </w:r>
          </w:p>
        </w:tc>
        <w:tc>
          <w:tcPr>
            <w:tcW w:type="dxa" w:w="6138"/>
            <w:tcBorders>
              <w:top w:val="single" w:color="D2D2D2" w:sz="4"/>
              <w:left w:val="single" w:color="D2D2D2" w:sz="4"/>
              <w:bottom w:val="single" w:color="D2D2D2" w:sz="4"/>
              <w:right w:val="single" w:color="D2D2D2" w:sz="4"/>
            </w:tcBorders>
            <w:tcMar>
              <w:top w:type="dxa" w:w="70"/>
              <w:left w:type="dxa" w:w="110"/>
              <w:bottom w:type="dxa" w:w="70"/>
              <w:right w:type="dxa" w:w="110"/>
            </w:tcMar>
            <w:vAlign w:val="center"/>
          </w:tcPr>
          <w:p>
            <w:pPr>
              <w:spacing w:after="0"/>
            </w:pPr>
            <w:r>
              <w:rPr>
                <w:sz w:val="19"/>
                <w:szCs w:val="19"/>
              </w:rPr>
              <w:t xml:space="preserve">BSA’s recommendation is calculated from the data with a consistent, transparent method — it does not invent figures.</w:t>
            </w:r>
          </w:p>
        </w:tc>
      </w:tr>
    </w:tbl>
    <w:p>
      <w:pPr>
        <w:spacing w:after="120"/>
      </w:pPr>
    </w:p>
    <w:p>
      <w:pPr>
        <w:pStyle w:val="Heading2"/>
      </w:pPr>
      <w:r>
        <w:t xml:space="preserve">12.2 Boilerplate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C335E" w:sz="24"/>
              <w:bottom w:val="none" w:color="FFFFFF" w:sz="0"/>
              <w:right w:val="none" w:color="FFFFFF" w:sz="0"/>
            </w:tcBorders>
            <w:shd w:fill="F1F4F9" w:color="auto" w:val="clear"/>
            <w:tcMar>
              <w:top w:type="dxa" w:w="120"/>
              <w:left w:type="dxa" w:w="200"/>
              <w:bottom w:type="dxa" w:w="120"/>
              <w:right w:type="dxa" w:w="200"/>
            </w:tcMar>
          </w:tcPr>
          <w:p>
            <w:pPr>
              <w:spacing w:after="80"/>
            </w:pPr>
            <w:r>
              <w:rPr>
                <w:rFonts w:ascii="Poppins" w:cs="Poppins" w:eastAsia="Poppins" w:hAnsi="Poppins"/>
                <w:b/>
                <w:bCs/>
                <w:color w:val="1C335E"/>
                <w:sz w:val="21"/>
                <w:szCs w:val="21"/>
              </w:rPr>
              <w:t xml:space="preserve">Copy</w:t>
            </w:r>
          </w:p>
          <w:p>
            <w:pPr>
              <w:spacing w:after="60"/>
            </w:pPr>
            <w:r>
              <w:rPr>
                <w:sz w:val="20"/>
                <w:szCs w:val="20"/>
              </w:rPr>
              <w:t xml:space="preserve">Grid Property Ventures helps franchise brands, developers and investors find and secure the right commercial locations in the Philippines. Its Business Site Analysis (BSA) platform gives licensed brokers and franchise teams a clear, evidence-backed recommendation for every candidate site — with every figure labelled for how far it can be trusted.</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4A5873"/>
        <w:sz w:val="16"/>
        <w:szCs w:val="16"/>
      </w:rPr>
      <w:t xml:space="preserve">Confidential — for internal and client use</w:t>
    </w:r>
    <w:r>
      <w:rPr>
        <w:color w:val="4A587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2D2" w:sz="4" w:space="4"/>
      </w:pBdr>
      <w:tabs>
        <w:tab w:val="right" w:pos="9026"/>
      </w:tabs>
    </w:pPr>
    <w:r>
      <w:rPr>
        <w:color w:val="4A5873"/>
        <w:sz w:val="16"/>
        <w:szCs w:val="16"/>
      </w:rPr>
      <w:t xml:space="preserve">GRID Property Ventures · Business Site Analysis</w:t>
    </w:r>
    <w:r>
      <w:rPr>
        <w:b/>
        <w:bCs/>
        <w:color w:val="8E5A3B"/>
        <w:sz w:val="16"/>
        <w:szCs w:val="16"/>
      </w:rPr>
      <w:t xml:space="preserve">	Marketing Copy Kit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abstractNum w:abstractNumId="14" w15:restartNumberingAfterBreak="0">
    <w:multiLevelType w:val="hybridMultilevel"/>
    <w:lvl w:ilvl="0" w15:tentative="1">
      <w:start w:val="1"/>
      <w:numFmt w:val="decimal"/>
      <w:lvlText w:val="%1."/>
      <w:lvlJc w:val="left"/>
      <w:pPr>
        <w:ind w:left="540" w:hanging="320"/>
      </w:pPr>
    </w:lvl>
  </w:abstractNum>
  <w:abstractNum w:abstractNumId="15" w15:restartNumberingAfterBreak="0">
    <w:multiLevelType w:val="hybridMultilevel"/>
    <w:lvl w:ilvl="0" w15:tentative="1">
      <w:start w:val="1"/>
      <w:numFmt w:val="decimal"/>
      <w:lvlText w:val="%1."/>
      <w:lvlJc w:val="left"/>
      <w:pPr>
        <w:ind w:left="540" w:hanging="320"/>
      </w:pPr>
    </w:lvl>
  </w:abstractNum>
  <w:abstractNum w:abstractNumId="16" w15:restartNumberingAfterBreak="0">
    <w:multiLevelType w:val="hybridMultilevel"/>
    <w:lvl w:ilvl="0" w15:tentative="1">
      <w:start w:val="1"/>
      <w:numFmt w:val="decimal"/>
      <w:lvlText w:val="%1."/>
      <w:lvlJc w:val="left"/>
      <w:pPr>
        <w:ind w:left="540" w:hanging="320"/>
      </w:pPr>
    </w:lvl>
  </w:abstractNum>
  <w:abstractNum w:abstractNumId="17" w15:restartNumberingAfterBreak="0">
    <w:multiLevelType w:val="hybridMultilevel"/>
    <w:lvl w:ilvl="0" w15:tentative="1">
      <w:start w:val="1"/>
      <w:numFmt w:val="decimal"/>
      <w:lvlText w:val="%1."/>
      <w:lvlJc w:val="left"/>
      <w:pPr>
        <w:ind w:left="540" w:hanging="320"/>
      </w:pPr>
    </w:lvl>
  </w:abstractNum>
  <w:abstractNum w:abstractNumId="18" w15:restartNumberingAfterBreak="0">
    <w:multiLevelType w:val="hybridMultilevel"/>
    <w:lvl w:ilvl="0" w15:tentative="1">
      <w:start w:val="1"/>
      <w:numFmt w:val="decimal"/>
      <w:lvlText w:val="%1."/>
      <w:lvlJc w:val="left"/>
      <w:pPr>
        <w:ind w:left="540" w:hanging="320"/>
      </w:pPr>
    </w:lvl>
  </w:abstractNum>
  <w:abstractNum w:abstractNumId="19" w15:restartNumberingAfterBreak="0">
    <w:multiLevelType w:val="hybridMultilevel"/>
    <w:lvl w:ilvl="0" w15:tentative="1">
      <w:start w:val="1"/>
      <w:numFmt w:val="decimal"/>
      <w:lvlText w:val="%1."/>
      <w:lvlJc w:val="left"/>
      <w:pPr>
        <w:ind w:left="540" w:hanging="320"/>
      </w:pPr>
    </w:lvl>
  </w:abstractNum>
  <w:abstractNum w:abstractNumId="20" w15:restartNumberingAfterBreak="0">
    <w:multiLevelType w:val="hybridMultilevel"/>
    <w:lvl w:ilvl="0" w15:tentative="1">
      <w:start w:val="1"/>
      <w:numFmt w:val="decimal"/>
      <w:lvlText w:val="%1."/>
      <w:lvlJc w:val="left"/>
      <w:pPr>
        <w:ind w:left="540" w:hanging="320"/>
      </w:pPr>
    </w:lvl>
  </w:abstractNum>
  <w:abstractNum w:abstractNumId="21" w15:restartNumberingAfterBreak="0">
    <w:multiLevelType w:val="hybridMultilevel"/>
    <w:lvl w:ilvl="0" w15:tentative="1">
      <w:start w:val="1"/>
      <w:numFmt w:val="decimal"/>
      <w:lvlText w:val="%1."/>
      <w:lvlJc w:val="left"/>
      <w:pPr>
        <w:ind w:left="540" w:hanging="320"/>
      </w:pPr>
    </w:lvl>
  </w:abstractNum>
  <w:abstractNum w:abstractNumId="22" w15:restartNumberingAfterBreak="0">
    <w:multiLevelType w:val="hybridMultilevel"/>
    <w:lvl w:ilvl="0" w15:tentative="1">
      <w:start w:val="1"/>
      <w:numFmt w:val="decimal"/>
      <w:lvlText w:val="%1."/>
      <w:lvlJc w:val="left"/>
      <w:pPr>
        <w:ind w:left="540" w:hanging="320"/>
      </w:pPr>
    </w:lvl>
  </w:abstractNum>
  <w:abstractNum w:abstractNumId="23" w15:restartNumberingAfterBreak="0">
    <w:multiLevelType w:val="hybridMultilevel"/>
    <w:lvl w:ilvl="0" w15:tentative="1">
      <w:start w:val="1"/>
      <w:numFmt w:val="decimal"/>
      <w:lvlText w:val="%1."/>
      <w:lvlJc w:val="left"/>
      <w:pPr>
        <w:ind w:left="540" w:hanging="320"/>
      </w:pPr>
    </w:lvl>
  </w:abstractNum>
  <w:abstractNum w:abstractNumId="24" w15:restartNumberingAfterBreak="0">
    <w:multiLevelType w:val="hybridMultilevel"/>
    <w:lvl w:ilvl="0" w15:tentative="1">
      <w:start w:val="1"/>
      <w:numFmt w:val="decimal"/>
      <w:lvlText w:val="%1."/>
      <w:lvlJc w:val="left"/>
      <w:pPr>
        <w:ind w:left="540" w:hanging="320"/>
      </w:pPr>
    </w:lvl>
  </w:abstractNum>
  <w:abstractNum w:abstractNumId="25" w15:restartNumberingAfterBreak="0">
    <w:multiLevelType w:val="hybridMultilevel"/>
    <w:lvl w:ilvl="0" w15:tentative="1">
      <w:start w:val="1"/>
      <w:numFmt w:val="decimal"/>
      <w:lvlText w:val="%1."/>
      <w:lvlJc w:val="left"/>
      <w:pPr>
        <w:ind w:left="540" w:hanging="320"/>
      </w:pPr>
    </w:lvl>
  </w:abstractNum>
  <w:abstractNum w:abstractNumId="26" w15:restartNumberingAfterBreak="0">
    <w:multiLevelType w:val="hybridMultilevel"/>
    <w:lvl w:ilvl="0" w15:tentative="1">
      <w:start w:val="1"/>
      <w:numFmt w:val="decimal"/>
      <w:lvlText w:val="%1."/>
      <w:lvlJc w:val="left"/>
      <w:pPr>
        <w:ind w:left="540" w:hanging="320"/>
      </w:pPr>
    </w:lvl>
  </w:abstractNum>
  <w:abstractNum w:abstractNumId="27" w15:restartNumberingAfterBreak="0">
    <w:multiLevelType w:val="hybridMultilevel"/>
    <w:lvl w:ilvl="0" w15:tentative="1">
      <w:start w:val="1"/>
      <w:numFmt w:val="decimal"/>
      <w:lvlText w:val="%1."/>
      <w:lvlJc w:val="left"/>
      <w:pPr>
        <w:ind w:left="540" w:hanging="320"/>
      </w:pPr>
    </w:lvl>
  </w:abstractNum>
  <w:abstractNum w:abstractNumId="28" w15:restartNumberingAfterBreak="0">
    <w:multiLevelType w:val="hybridMultilevel"/>
    <w:lvl w:ilvl="0" w15:tentative="1">
      <w:start w:val="1"/>
      <w:numFmt w:val="decimal"/>
      <w:lvlText w:val="%1."/>
      <w:lvlJc w:val="left"/>
      <w:pPr>
        <w:ind w:left="540" w:hanging="320"/>
      </w:pPr>
    </w:lvl>
  </w:abstractNum>
  <w:abstractNum w:abstractNumId="29" w15:restartNumberingAfterBreak="0">
    <w:multiLevelType w:val="hybridMultilevel"/>
    <w:lvl w:ilvl="0" w15:tentative="1">
      <w:start w:val="1"/>
      <w:numFmt w:val="decimal"/>
      <w:lvlText w:val="%1."/>
      <w:lvlJc w:val="left"/>
      <w:pPr>
        <w:ind w:left="540" w:hanging="320"/>
      </w:pPr>
    </w:lvl>
  </w:abstractNum>
  <w:abstractNum w:abstractNumId="30" w15:restartNumberingAfterBreak="0">
    <w:multiLevelType w:val="hybridMultilevel"/>
    <w:lvl w:ilvl="0" w15:tentative="1">
      <w:start w:val="1"/>
      <w:numFmt w:val="decimal"/>
      <w:lvlText w:val="%1."/>
      <w:lvlJc w:val="left"/>
      <w:pPr>
        <w:ind w:left="540" w:hanging="320"/>
      </w:pPr>
    </w:lvl>
  </w:abstractNum>
  <w:abstractNum w:abstractNumId="31" w15:restartNumberingAfterBreak="0">
    <w:multiLevelType w:val="hybridMultilevel"/>
    <w:lvl w:ilvl="0" w15:tentative="1">
      <w:start w:val="1"/>
      <w:numFmt w:val="decimal"/>
      <w:lvlText w:val="%1."/>
      <w:lvlJc w:val="left"/>
      <w:pPr>
        <w:ind w:left="540" w:hanging="320"/>
      </w:pPr>
    </w:lvl>
  </w:abstractNum>
  <w:abstractNum w:abstractNumId="32" w15:restartNumberingAfterBreak="0">
    <w:multiLevelType w:val="hybridMultilevel"/>
    <w:lvl w:ilvl="0" w15:tentative="1">
      <w:start w:val="1"/>
      <w:numFmt w:val="decimal"/>
      <w:lvlText w:val="%1."/>
      <w:lvlJc w:val="left"/>
      <w:pPr>
        <w:ind w:left="540" w:hanging="320"/>
      </w:pPr>
    </w:lvl>
  </w:abstractNum>
  <w:abstractNum w:abstractNumId="33" w15:restartNumberingAfterBreak="0">
    <w:multiLevelType w:val="hybridMultilevel"/>
    <w:lvl w:ilvl="0" w15:tentative="1">
      <w:start w:val="1"/>
      <w:numFmt w:val="decimal"/>
      <w:lvlText w:val="%1."/>
      <w:lvlJc w:val="left"/>
      <w:pPr>
        <w:ind w:left="540" w:hanging="320"/>
      </w:pPr>
    </w:lvl>
  </w:abstractNum>
  <w:abstractNum w:abstractNumId="34" w15:restartNumberingAfterBreak="0">
    <w:multiLevelType w:val="hybridMultilevel"/>
    <w:lvl w:ilvl="0" w15:tentative="1">
      <w:start w:val="1"/>
      <w:numFmt w:val="decimal"/>
      <w:lvlText w:val="%1."/>
      <w:lvlJc w:val="left"/>
      <w:pPr>
        <w:ind w:left="540" w:hanging="320"/>
      </w:pPr>
    </w:lvl>
  </w:abstractNum>
  <w:abstractNum w:abstractNumId="35" w15:restartNumberingAfterBreak="0">
    <w:multiLevelType w:val="hybridMultilevel"/>
    <w:lvl w:ilvl="0" w15:tentative="1">
      <w:start w:val="1"/>
      <w:numFmt w:val="decimal"/>
      <w:lvlText w:val="%1."/>
      <w:lvlJc w:val="left"/>
      <w:pPr>
        <w:ind w:left="540" w:hanging="320"/>
      </w:pPr>
    </w:lvl>
  </w:abstractNum>
  <w:abstractNum w:abstractNumId="36" w15:restartNumberingAfterBreak="0">
    <w:multiLevelType w:val="hybridMultilevel"/>
    <w:lvl w:ilvl="0" w15:tentative="1">
      <w:start w:val="1"/>
      <w:numFmt w:val="decimal"/>
      <w:lvlText w:val="%1."/>
      <w:lvlJc w:val="left"/>
      <w:pPr>
        <w:ind w:left="540" w:hanging="320"/>
      </w:pPr>
    </w:lvl>
  </w:abstractNum>
  <w:abstractNum w:abstractNumId="37" w15:restartNumberingAfterBreak="0">
    <w:multiLevelType w:val="hybridMultilevel"/>
    <w:lvl w:ilvl="0" w15:tentative="1">
      <w:start w:val="1"/>
      <w:numFmt w:val="decimal"/>
      <w:lvlText w:val="%1."/>
      <w:lvlJc w:val="left"/>
      <w:pPr>
        <w:ind w:left="540" w:hanging="320"/>
      </w:pPr>
    </w:lvl>
  </w:abstractNum>
  <w:abstractNum w:abstractNumId="38" w15:restartNumberingAfterBreak="0">
    <w:multiLevelType w:val="hybridMultilevel"/>
    <w:lvl w:ilvl="0" w15:tentative="1">
      <w:start w:val="1"/>
      <w:numFmt w:val="decimal"/>
      <w:lvlText w:val="%1."/>
      <w:lvlJc w:val="left"/>
      <w:pPr>
        <w:ind w:left="540" w:hanging="320"/>
      </w:pPr>
    </w:lvl>
  </w:abstractNum>
  <w:abstractNum w:abstractNumId="39" w15:restartNumberingAfterBreak="0">
    <w:multiLevelType w:val="hybridMultilevel"/>
    <w:lvl w:ilvl="0" w15:tentative="1">
      <w:start w:val="1"/>
      <w:numFmt w:val="decimal"/>
      <w:lvlText w:val="%1."/>
      <w:lvlJc w:val="left"/>
      <w:pPr>
        <w:ind w:left="540" w:hanging="320"/>
      </w:pPr>
    </w:lvl>
  </w:abstractNum>
  <w:abstractNum w:abstractNumId="40" w15:restartNumberingAfterBreak="0">
    <w:multiLevelType w:val="hybridMultilevel"/>
    <w:lvl w:ilvl="0" w15:tentative="1">
      <w:start w:val="1"/>
      <w:numFmt w:val="decimal"/>
      <w:lvlText w:val="%1."/>
      <w:lvlJc w:val="left"/>
      <w:pPr>
        <w:ind w:left="540" w:hanging="320"/>
      </w:pPr>
    </w:lvl>
  </w:abstractNum>
  <w:abstractNum w:abstractNumId="41" w15:restartNumberingAfterBreak="0">
    <w:multiLevelType w:val="hybridMultilevel"/>
    <w:lvl w:ilvl="0" w15:tentative="1">
      <w:start w:val="1"/>
      <w:numFmt w:val="decimal"/>
      <w:lvlText w:val="%1."/>
      <w:lvlJc w:val="left"/>
      <w:pPr>
        <w:ind w:left="540" w:hanging="320"/>
      </w:pPr>
    </w:lvl>
  </w:abstractNum>
  <w:abstractNum w:abstractNumId="42"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E8562" w:sz="12" w:space="6"/>
      </w:pBdr>
      <w:spacing w:after="160" w:before="240"/>
      <w:outlineLvl w:val="0"/>
    </w:pPr>
    <w:rPr>
      <w:rFonts w:ascii="Poppins" w:cs="Poppins" w:eastAsia="Poppins" w:hAnsi="Poppins"/>
      <w:b/>
      <w:bCs/>
      <w:color w:val="1C335E"/>
      <w:sz w:val="34"/>
      <w:szCs w:val="34"/>
    </w:rPr>
  </w:style>
  <w:style w:type="paragraph" w:styleId="Heading2">
    <w:name w:val="Heading 2"/>
    <w:basedOn w:val="Normal"/>
    <w:next w:val="Normal"/>
    <w:qFormat/>
    <w:pPr>
      <w:spacing w:after="110" w:before="280"/>
      <w:outlineLvl w:val="1"/>
    </w:pPr>
    <w:rPr>
      <w:rFonts w:ascii="Poppins" w:cs="Poppins" w:eastAsia="Poppins" w:hAnsi="Poppins"/>
      <w:b/>
      <w:bCs/>
      <w:color w:val="1C335E"/>
      <w:sz w:val="26"/>
      <w:szCs w:val="26"/>
    </w:rPr>
  </w:style>
  <w:style w:type="paragraph" w:styleId="Heading3">
    <w:name w:val="Heading 3"/>
    <w:basedOn w:val="Normal"/>
    <w:next w:val="Normal"/>
    <w:qFormat/>
    <w:pPr>
      <w:spacing w:after="80" w:before="200"/>
      <w:outlineLvl w:val="2"/>
    </w:pPr>
    <w:rPr>
      <w:rFonts w:ascii="Poppins" w:cs="Poppins" w:eastAsia="Poppins" w:hAnsi="Poppins"/>
      <w:b/>
      <w:bCs/>
      <w:color w:val="8E5A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fd05deb12f6db8e8ac259e4447a86e8afdb1f1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Copy Kit</dc:title>
  <dc:creator>Grid Property Ventures — BSA Agency</dc:creator>
  <dc:description>Marketing Copy Kit</dc:description>
  <cp:lastModifiedBy>Un-named</cp:lastModifiedBy>
  <cp:revision>1</cp:revision>
  <dcterms:created xsi:type="dcterms:W3CDTF">2026-10-01T05:23:47.407Z</dcterms:created>
  <dcterms:modified xsi:type="dcterms:W3CDTF">2026-10-01T05:23:47.408Z</dcterms:modified>
</cp:coreProperties>
</file>

<file path=docProps/custom.xml><?xml version="1.0" encoding="utf-8"?>
<Properties xmlns="http://schemas.openxmlformats.org/officeDocument/2006/custom-properties" xmlns:vt="http://schemas.openxmlformats.org/officeDocument/2006/docPropsVTypes"/>
</file>