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r>
        <w:drawing>
          <wp:inline distT="0" distB="0" distL="0" distR="0">
            <wp:extent cx="1809750" cy="723900"/>
            <wp:effectExtent t="0" r="0" b="0" l="0"/>
            <wp:docPr id="1" name="logo" descr="GRID Property Ventures logo" title="GRID Property Ven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09750" cy="723900"/>
                    </a:xfrm>
                    <a:prstGeom prst="rect">
                      <a:avLst/>
                    </a:prstGeom>
                  </pic:spPr>
                </pic:pic>
              </a:graphicData>
            </a:graphic>
          </wp:inline>
        </w:drawing>
      </w:r>
    </w:p>
    <w:p>
      <w:pPr>
        <w:spacing w:after="160"/>
      </w:pPr>
      <w:r>
        <w:rPr>
          <w:rFonts w:ascii="Poppins" w:cs="Poppins" w:eastAsia="Poppins" w:hAnsi="Poppins"/>
          <w:b/>
          <w:bCs/>
          <w:color w:val="8E5A3B"/>
          <w:spacing w:val="40"/>
          <w:sz w:val="20"/>
          <w:szCs w:val="20"/>
        </w:rPr>
        <w:t xml:space="preserve">FOR USERS</w:t>
      </w:r>
    </w:p>
    <w:p>
      <w:pPr>
        <w:spacing w:after="160"/>
      </w:pPr>
      <w:r>
        <w:rPr>
          <w:rFonts w:ascii="Poppins" w:cs="Poppins" w:eastAsia="Poppins" w:hAnsi="Poppins"/>
          <w:b/>
          <w:bCs/>
          <w:color w:val="1C335E"/>
          <w:sz w:val="60"/>
          <w:szCs w:val="60"/>
        </w:rPr>
        <w:t xml:space="preserve">User Guide &amp; User Journey</w:t>
      </w:r>
    </w:p>
    <w:p>
      <w:pPr>
        <w:pBdr>
          <w:bottom w:val="single" w:color="BE8562" w:sz="24" w:space="12"/>
        </w:pBdr>
        <w:spacing w:after="300"/>
      </w:pPr>
      <w:r>
        <w:rPr>
          <w:color w:val="4A5873"/>
          <w:sz w:val="28"/>
          <w:szCs w:val="28"/>
        </w:rPr>
        <w:t xml:space="preserve">How to use Business Site Analysis (BSA) — from brand screening to a shareable site report</w:t>
      </w:r>
    </w:p>
    <w:p>
      <w:pPr>
        <w:spacing w:after="6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none" w:color="FFFFFF" w:sz="0"/>
              <w:left w:val="none" w:color="FFFFFF" w:sz="0"/>
              <w:bottom w:val="single" w:color="D2D2D2" w:sz="4"/>
              <w:right w:val="none" w:color="FFFFFF" w:sz="0"/>
            </w:tcBorders>
            <w:tcMar>
              <w:top w:type="dxa" w:w="80"/>
              <w:left w:type="dxa" w:w="0"/>
              <w:bottom w:type="dxa" w:w="80"/>
              <w:right w:type="dxa" w:w="100"/>
            </w:tcMar>
          </w:tcPr>
          <w:p>
            <w:r>
              <w:rPr>
                <w:rFonts w:ascii="Poppins" w:cs="Poppins" w:eastAsia="Poppins" w:hAnsi="Poppins"/>
                <w:b/>
                <w:bCs/>
                <w:color w:val="4A5873"/>
                <w:sz w:val="17"/>
                <w:szCs w:val="17"/>
              </w:rPr>
              <w:t xml:space="preserve">DOCUMENT</w:t>
            </w:r>
          </w:p>
        </w:tc>
        <w:tc>
          <w:tcPr>
            <w:tcW w:type="dxa" w:w="6426"/>
            <w:tcBorders>
              <w:top w:val="none" w:color="FFFFFF" w:sz="0"/>
              <w:left w:val="none" w:color="FFFFFF" w:sz="0"/>
              <w:bottom w:val="single" w:color="D2D2D2" w:sz="4"/>
              <w:right w:val="none" w:color="FFFFFF" w:sz="0"/>
            </w:tcBorders>
            <w:tcMar>
              <w:top w:type="dxa" w:w="80"/>
              <w:left w:type="dxa" w:w="100"/>
              <w:bottom w:type="dxa" w:w="80"/>
              <w:right w:type="dxa" w:w="0"/>
            </w:tcMar>
          </w:tcPr>
          <w:p>
            <w:r>
              <w:rPr>
                <w:color w:val="0E192F"/>
                <w:sz w:val="21"/>
                <w:szCs w:val="21"/>
              </w:rPr>
              <w:t xml:space="preserve">User Guide and User Journey</w:t>
            </w:r>
          </w:p>
        </w:tc>
      </w:tr>
      <w:tr>
        <w:tc>
          <w:tcPr>
            <w:tcW w:type="dxa" w:w="2600"/>
            <w:tcBorders>
              <w:top w:val="none" w:color="FFFFFF" w:sz="0"/>
              <w:left w:val="none" w:color="FFFFFF" w:sz="0"/>
              <w:bottom w:val="single" w:color="D2D2D2" w:sz="4"/>
              <w:right w:val="none" w:color="FFFFFF" w:sz="0"/>
            </w:tcBorders>
            <w:tcMar>
              <w:top w:type="dxa" w:w="80"/>
              <w:left w:type="dxa" w:w="0"/>
              <w:bottom w:type="dxa" w:w="80"/>
              <w:right w:type="dxa" w:w="100"/>
            </w:tcMar>
          </w:tcPr>
          <w:p>
            <w:r>
              <w:rPr>
                <w:rFonts w:ascii="Poppins" w:cs="Poppins" w:eastAsia="Poppins" w:hAnsi="Poppins"/>
                <w:b/>
                <w:bCs/>
                <w:color w:val="4A5873"/>
                <w:sz w:val="17"/>
                <w:szCs w:val="17"/>
              </w:rPr>
              <w:t xml:space="preserve">VERSION</w:t>
            </w:r>
          </w:p>
        </w:tc>
        <w:tc>
          <w:tcPr>
            <w:tcW w:type="dxa" w:w="6426"/>
            <w:tcBorders>
              <w:top w:val="none" w:color="FFFFFF" w:sz="0"/>
              <w:left w:val="none" w:color="FFFFFF" w:sz="0"/>
              <w:bottom w:val="single" w:color="D2D2D2" w:sz="4"/>
              <w:right w:val="none" w:color="FFFFFF" w:sz="0"/>
            </w:tcBorders>
            <w:tcMar>
              <w:top w:type="dxa" w:w="80"/>
              <w:left w:type="dxa" w:w="100"/>
              <w:bottom w:type="dxa" w:w="80"/>
              <w:right w:type="dxa" w:w="0"/>
            </w:tcMar>
          </w:tcPr>
          <w:p>
            <w:r>
              <w:rPr>
                <w:color w:val="0E192F"/>
                <w:sz w:val="21"/>
                <w:szCs w:val="21"/>
              </w:rPr>
              <w:t xml:space="preserve">1.0</w:t>
            </w:r>
          </w:p>
        </w:tc>
      </w:tr>
      <w:tr>
        <w:tc>
          <w:tcPr>
            <w:tcW w:type="dxa" w:w="2600"/>
            <w:tcBorders>
              <w:top w:val="none" w:color="FFFFFF" w:sz="0"/>
              <w:left w:val="none" w:color="FFFFFF" w:sz="0"/>
              <w:bottom w:val="single" w:color="D2D2D2" w:sz="4"/>
              <w:right w:val="none" w:color="FFFFFF" w:sz="0"/>
            </w:tcBorders>
            <w:tcMar>
              <w:top w:type="dxa" w:w="80"/>
              <w:left w:type="dxa" w:w="0"/>
              <w:bottom w:type="dxa" w:w="80"/>
              <w:right w:type="dxa" w:w="100"/>
            </w:tcMar>
          </w:tcPr>
          <w:p>
            <w:r>
              <w:rPr>
                <w:rFonts w:ascii="Poppins" w:cs="Poppins" w:eastAsia="Poppins" w:hAnsi="Poppins"/>
                <w:b/>
                <w:bCs/>
                <w:color w:val="4A5873"/>
                <w:sz w:val="17"/>
                <w:szCs w:val="17"/>
              </w:rPr>
              <w:t xml:space="preserve">DATE</w:t>
            </w:r>
          </w:p>
        </w:tc>
        <w:tc>
          <w:tcPr>
            <w:tcW w:type="dxa" w:w="6426"/>
            <w:tcBorders>
              <w:top w:val="none" w:color="FFFFFF" w:sz="0"/>
              <w:left w:val="none" w:color="FFFFFF" w:sz="0"/>
              <w:bottom w:val="single" w:color="D2D2D2" w:sz="4"/>
              <w:right w:val="none" w:color="FFFFFF" w:sz="0"/>
            </w:tcBorders>
            <w:tcMar>
              <w:top w:type="dxa" w:w="80"/>
              <w:left w:type="dxa" w:w="100"/>
              <w:bottom w:type="dxa" w:w="80"/>
              <w:right w:type="dxa" w:w="0"/>
            </w:tcMar>
          </w:tcPr>
          <w:p>
            <w:r>
              <w:rPr>
                <w:color w:val="0E192F"/>
                <w:sz w:val="21"/>
                <w:szCs w:val="21"/>
              </w:rPr>
              <w:t xml:space="preserve">1 October 2026</w:t>
            </w:r>
          </w:p>
        </w:tc>
      </w:tr>
      <w:tr>
        <w:tc>
          <w:tcPr>
            <w:tcW w:type="dxa" w:w="2600"/>
            <w:tcBorders>
              <w:top w:val="none" w:color="FFFFFF" w:sz="0"/>
              <w:left w:val="none" w:color="FFFFFF" w:sz="0"/>
              <w:bottom w:val="single" w:color="D2D2D2" w:sz="4"/>
              <w:right w:val="none" w:color="FFFFFF" w:sz="0"/>
            </w:tcBorders>
            <w:tcMar>
              <w:top w:type="dxa" w:w="80"/>
              <w:left w:type="dxa" w:w="0"/>
              <w:bottom w:type="dxa" w:w="80"/>
              <w:right w:type="dxa" w:w="100"/>
            </w:tcMar>
          </w:tcPr>
          <w:p>
            <w:r>
              <w:rPr>
                <w:rFonts w:ascii="Poppins" w:cs="Poppins" w:eastAsia="Poppins" w:hAnsi="Poppins"/>
                <w:b/>
                <w:bCs/>
                <w:color w:val="4A5873"/>
                <w:sz w:val="17"/>
                <w:szCs w:val="17"/>
              </w:rPr>
              <w:t xml:space="preserve">AUDIENCE</w:t>
            </w:r>
          </w:p>
        </w:tc>
        <w:tc>
          <w:tcPr>
            <w:tcW w:type="dxa" w:w="6426"/>
            <w:tcBorders>
              <w:top w:val="none" w:color="FFFFFF" w:sz="0"/>
              <w:left w:val="none" w:color="FFFFFF" w:sz="0"/>
              <w:bottom w:val="single" w:color="D2D2D2" w:sz="4"/>
              <w:right w:val="none" w:color="FFFFFF" w:sz="0"/>
            </w:tcBorders>
            <w:tcMar>
              <w:top w:type="dxa" w:w="80"/>
              <w:left w:type="dxa" w:w="100"/>
              <w:bottom w:type="dxa" w:w="80"/>
              <w:right w:type="dxa" w:w="0"/>
            </w:tcMar>
          </w:tcPr>
          <w:p>
            <w:r>
              <w:rPr>
                <w:color w:val="0E192F"/>
                <w:sz w:val="21"/>
                <w:szCs w:val="21"/>
              </w:rPr>
              <w:t xml:space="preserve">Brokers, franchise teams, franchisees and Grid staff</w:t>
            </w:r>
          </w:p>
        </w:tc>
      </w:tr>
      <w:tr>
        <w:tc>
          <w:tcPr>
            <w:tcW w:type="dxa" w:w="2600"/>
            <w:tcBorders>
              <w:top w:val="none" w:color="FFFFFF" w:sz="0"/>
              <w:left w:val="none" w:color="FFFFFF" w:sz="0"/>
              <w:bottom w:val="single" w:color="D2D2D2" w:sz="4"/>
              <w:right w:val="none" w:color="FFFFFF" w:sz="0"/>
            </w:tcBorders>
            <w:tcMar>
              <w:top w:type="dxa" w:w="80"/>
              <w:left w:type="dxa" w:w="0"/>
              <w:bottom w:type="dxa" w:w="80"/>
              <w:right w:type="dxa" w:w="100"/>
            </w:tcMar>
          </w:tcPr>
          <w:p>
            <w:r>
              <w:rPr>
                <w:rFonts w:ascii="Poppins" w:cs="Poppins" w:eastAsia="Poppins" w:hAnsi="Poppins"/>
                <w:b/>
                <w:bCs/>
                <w:color w:val="4A5873"/>
                <w:sz w:val="17"/>
                <w:szCs w:val="17"/>
              </w:rPr>
              <w:t xml:space="preserve">APPLIES TO</w:t>
            </w:r>
          </w:p>
        </w:tc>
        <w:tc>
          <w:tcPr>
            <w:tcW w:type="dxa" w:w="6426"/>
            <w:tcBorders>
              <w:top w:val="none" w:color="FFFFFF" w:sz="0"/>
              <w:left w:val="none" w:color="FFFFFF" w:sz="0"/>
              <w:bottom w:val="single" w:color="D2D2D2" w:sz="4"/>
              <w:right w:val="none" w:color="FFFFFF" w:sz="0"/>
            </w:tcBorders>
            <w:tcMar>
              <w:top w:type="dxa" w:w="80"/>
              <w:left w:type="dxa" w:w="100"/>
              <w:bottom w:type="dxa" w:w="80"/>
              <w:right w:type="dxa" w:w="0"/>
            </w:tcMar>
          </w:tcPr>
          <w:p>
            <w:r>
              <w:rPr>
                <w:color w:val="0E192F"/>
                <w:sz w:val="21"/>
                <w:szCs w:val="21"/>
              </w:rPr>
              <w:t xml:space="preserve">BSA v3 (web — desktop, tablet and phone)</w:t>
            </w:r>
          </w:p>
        </w:tc>
      </w:tr>
    </w:tbl>
    <w:p>
      <w:pPr>
        <w:spacing w:after="500"/>
      </w:pPr>
    </w:p>
    <w:p>
      <w:r>
        <w:rPr>
          <w:i/>
          <w:iCs/>
          <w:color w:val="4A5873"/>
          <w:sz w:val="17"/>
          <w:szCs w:val="17"/>
        </w:rPr>
        <w:t xml:space="preserve">Business Site Analysis (BSA) is decision support for licensed real estate practitioners (RA 9646). It does not appraise property or give price opinions; the broker still advises the client and closes the deal.</w:t>
      </w:r>
    </w:p>
    <w:p>
      <w:r>
        <w:br w:type="page"/>
      </w:r>
    </w:p>
    <w:p>
      <w:pPr>
        <w:spacing w:after="200"/>
      </w:pPr>
      <w:r>
        <w:rPr>
          <w:rFonts w:ascii="Poppins" w:cs="Poppins" w:eastAsia="Poppins" w:hAnsi="Poppins"/>
          <w:b/>
          <w:bCs/>
          <w:color w:val="1C335E"/>
          <w:sz w:val="34"/>
          <w:szCs w:val="34"/>
        </w:rPr>
        <w:t xml:space="preserve">Contents</w:t>
      </w:r>
    </w:p>
    <w:p>
      <w:pPr>
        <w:spacing w:after="110"/>
      </w:pPr>
      <w:r>
        <w:rPr>
          <w:color w:val="0E192F"/>
          <w:sz w:val="23"/>
          <w:szCs w:val="23"/>
        </w:rPr>
        <w:t xml:space="preserve">1. Welcome</w:t>
      </w:r>
    </w:p>
    <w:p>
      <w:pPr>
        <w:spacing w:after="110"/>
      </w:pPr>
      <w:r>
        <w:rPr>
          <w:color w:val="0E192F"/>
          <w:sz w:val="23"/>
          <w:szCs w:val="23"/>
        </w:rPr>
        <w:t xml:space="preserve">2. Key ideas in two minutes</w:t>
      </w:r>
    </w:p>
    <w:p>
      <w:pPr>
        <w:spacing w:after="110"/>
      </w:pPr>
      <w:r>
        <w:rPr>
          <w:color w:val="0E192F"/>
          <w:sz w:val="23"/>
          <w:szCs w:val="23"/>
        </w:rPr>
        <w:t xml:space="preserve">3. The user journey</w:t>
      </w:r>
    </w:p>
    <w:p>
      <w:pPr>
        <w:spacing w:after="110"/>
      </w:pPr>
      <w:r>
        <w:rPr>
          <w:color w:val="0E192F"/>
          <w:sz w:val="23"/>
          <w:szCs w:val="23"/>
        </w:rPr>
        <w:t xml:space="preserve">4. Getting started</w:t>
      </w:r>
    </w:p>
    <w:p>
      <w:pPr>
        <w:spacing w:after="110"/>
      </w:pPr>
      <w:r>
        <w:rPr>
          <w:color w:val="0E192F"/>
          <w:sz w:val="23"/>
          <w:szCs w:val="23"/>
        </w:rPr>
        <w:t xml:space="preserve">5. Franchise Screening</w:t>
      </w:r>
    </w:p>
    <w:p>
      <w:pPr>
        <w:spacing w:after="110"/>
      </w:pPr>
      <w:r>
        <w:rPr>
          <w:color w:val="0E192F"/>
          <w:sz w:val="23"/>
          <w:szCs w:val="23"/>
        </w:rPr>
        <w:t xml:space="preserve">6. New Intake</w:t>
      </w:r>
    </w:p>
    <w:p>
      <w:pPr>
        <w:spacing w:after="110"/>
      </w:pPr>
      <w:r>
        <w:rPr>
          <w:color w:val="0E192F"/>
          <w:sz w:val="23"/>
          <w:szCs w:val="23"/>
        </w:rPr>
        <w:t xml:space="preserve">7. The analysis and the Site Dashboard</w:t>
      </w:r>
    </w:p>
    <w:p>
      <w:pPr>
        <w:spacing w:after="110"/>
      </w:pPr>
      <w:r>
        <w:rPr>
          <w:color w:val="0E192F"/>
          <w:sz w:val="23"/>
          <w:szCs w:val="23"/>
        </w:rPr>
        <w:t xml:space="preserve">8. The site page</w:t>
      </w:r>
    </w:p>
    <w:p>
      <w:pPr>
        <w:spacing w:after="110"/>
      </w:pPr>
      <w:r>
        <w:rPr>
          <w:color w:val="0E192F"/>
          <w:sz w:val="23"/>
          <w:szCs w:val="23"/>
        </w:rPr>
        <w:t xml:space="preserve">9. Sharing results</w:t>
      </w:r>
    </w:p>
    <w:p>
      <w:pPr>
        <w:spacing w:after="110"/>
      </w:pPr>
      <w:r>
        <w:rPr>
          <w:color w:val="0E192F"/>
          <w:sz w:val="23"/>
          <w:szCs w:val="23"/>
        </w:rPr>
        <w:t xml:space="preserve">10. Settings</w:t>
      </w:r>
    </w:p>
    <w:p>
      <w:pPr>
        <w:spacing w:after="110"/>
      </w:pPr>
      <w:r>
        <w:rPr>
          <w:color w:val="0E192F"/>
          <w:sz w:val="23"/>
          <w:szCs w:val="23"/>
        </w:rPr>
        <w:t xml:space="preserve">11. Talking to clients — tips for brokers</w:t>
      </w:r>
    </w:p>
    <w:p>
      <w:pPr>
        <w:spacing w:after="110"/>
      </w:pPr>
      <w:r>
        <w:rPr>
          <w:color w:val="0E192F"/>
          <w:sz w:val="23"/>
          <w:szCs w:val="23"/>
        </w:rPr>
        <w:t xml:space="preserve">12. Troubleshooting and FAQ</w:t>
      </w:r>
    </w:p>
    <w:p>
      <w:pPr>
        <w:spacing w:after="110"/>
      </w:pPr>
      <w:r>
        <w:rPr>
          <w:color w:val="0E192F"/>
          <w:sz w:val="23"/>
          <w:szCs w:val="23"/>
        </w:rPr>
        <w:t xml:space="preserve">13. Quick reference card</w:t>
      </w:r>
    </w:p>
    <w:p>
      <w:pPr>
        <w:spacing w:before="200"/>
      </w:pPr>
      <w:r>
        <w:rPr>
          <w:i/>
          <w:iCs/>
          <w:color w:val="4A5873"/>
          <w:sz w:val="18"/>
          <w:szCs w:val="18"/>
        </w:rPr>
        <w:t xml:space="preserve">Tip: in Word, View → Navigation Pane lists every heading with a link.</w:t>
      </w:r>
    </w:p>
    <w:p>
      <w:pPr>
        <w:pStyle w:val="Heading1"/>
        <w:pageBreakBefore/>
      </w:pPr>
      <w:r>
        <w:t xml:space="preserve">1. Welcome</w:t>
      </w:r>
    </w:p>
    <w:p>
      <w:pPr>
        <w:spacing w:after="200"/>
      </w:pPr>
      <w:r>
        <w:rPr>
          <w:color w:val="4A5873"/>
          <w:sz w:val="24"/>
          <w:szCs w:val="24"/>
        </w:rPr>
        <w:t xml:space="preserve">Business Site Analysis (BSA) helps you decide whether a candidate location is worth opening. This guide walks you through every screen, in the order you will use them.</w:t>
      </w:r>
    </w:p>
    <w:p>
      <w:pPr>
        <w:pStyle w:val="Heading2"/>
      </w:pPr>
      <w:r>
        <w:t xml:space="preserve">1.1 Who this guide is for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tblHeader/>
        </w:trPr>
        <w:tc>
          <w:tcPr>
            <w:tcW w:type="dxa" w:w="3610"/>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You are…</w:t>
            </w:r>
          </w:p>
        </w:tc>
        <w:tc>
          <w:tcPr>
            <w:tcW w:type="dxa" w:w="5416"/>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You will mostly use</w:t>
            </w:r>
          </w:p>
        </w:tc>
      </w:tr>
      <w:tr>
        <w:tc>
          <w:tcPr>
            <w:tcW w:type="dxa" w:w="3610"/>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A broker or franchise developer advising a client</w:t>
            </w:r>
          </w:p>
        </w:tc>
        <w:tc>
          <w:tcPr>
            <w:tcW w:type="dxa" w:w="5416"/>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Franchise Screening, New Intake, Site Dashboard, Final Report, site PDF and run report</w:t>
            </w:r>
          </w:p>
        </w:tc>
      </w:tr>
      <w:tr>
        <w:tc>
          <w:tcPr>
            <w:tcW w:type="dxa" w:w="3610"/>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A franchisor’s expansion team</w:t>
            </w:r>
          </w:p>
        </w:tc>
        <w:tc>
          <w:tcPr>
            <w:tcW w:type="dxa" w:w="5416"/>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New Intake (with your existing branches), Territory Guard, White-Space, Site Dashboard</w:t>
            </w:r>
          </w:p>
        </w:tc>
      </w:tr>
      <w:tr>
        <w:tc>
          <w:tcPr>
            <w:tcW w:type="dxa" w:w="3610"/>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A franchisee or independent operator</w:t>
            </w:r>
          </w:p>
        </w:tc>
        <w:tc>
          <w:tcPr>
            <w:tcW w:type="dxa" w:w="5416"/>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Franchise Screening, New Intake, Final Report</w:t>
            </w:r>
          </w:p>
        </w:tc>
      </w:tr>
      <w:tr>
        <w:tc>
          <w:tcPr>
            <w:tcW w:type="dxa" w:w="3610"/>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A Grid analyst or administrator</w:t>
            </w:r>
          </w:p>
        </w:tc>
        <w:tc>
          <w:tcPr>
            <w:tcW w:type="dxa" w:w="5416"/>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Everything above, plus all runs across users</w:t>
            </w:r>
          </w:p>
        </w:tc>
      </w:tr>
    </w:tbl>
    <w:p>
      <w:pPr>
        <w:spacing w:after="120"/>
      </w:pPr>
    </w:p>
    <w:p>
      <w:pPr>
        <w:pStyle w:val="Heading2"/>
      </w:pPr>
      <w:r>
        <w:t xml:space="preserve">1.2 What you need</w:t>
      </w:r>
    </w:p>
    <w:p>
      <w:pPr>
        <w:pStyle w:val="ListParagraph"/>
        <w:numPr>
          <w:ilvl w:val="0"/>
          <w:numId w:val="2"/>
        </w:numPr>
        <w:spacing w:after="60"/>
      </w:pPr>
      <w:r>
        <w:t xml:space="preserve">An up-to-date browser (Chrome, Edge, Safari or Firefox) on a computer, tablet or phone.</w:t>
      </w:r>
    </w:p>
    <w:p>
      <w:pPr>
        <w:pStyle w:val="ListParagraph"/>
        <w:numPr>
          <w:ilvl w:val="0"/>
          <w:numId w:val="2"/>
        </w:numPr>
        <w:spacing w:after="60"/>
      </w:pPr>
      <w:r>
        <w:t xml:space="preserve">A BSA account (create one on the sign-in page, or ask your Grid administrator).</w:t>
      </w:r>
    </w:p>
    <w:p>
      <w:pPr>
        <w:pStyle w:val="ListParagraph"/>
        <w:numPr>
          <w:ilvl w:val="0"/>
          <w:numId w:val="2"/>
        </w:numPr>
        <w:spacing w:after="60"/>
      </w:pPr>
      <w:r>
        <w:t xml:space="preserve">For each site: its location (you will pin it on a map). Existing branch locations if you are a franchisor. An asking rent if you have 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3261E" w:sz="24"/>
              <w:bottom w:val="none" w:color="FFFFFF" w:sz="0"/>
              <w:right w:val="none" w:color="FFFFFF" w:sz="0"/>
            </w:tcBorders>
            <w:shd w:fill="FBF1F0" w:color="auto" w:val="clear"/>
            <w:tcMar>
              <w:top w:type="dxa" w:w="120"/>
              <w:left w:type="dxa" w:w="200"/>
              <w:bottom w:type="dxa" w:w="120"/>
              <w:right w:type="dxa" w:w="200"/>
            </w:tcMar>
          </w:tcPr>
          <w:p>
            <w:pPr>
              <w:spacing w:after="80"/>
            </w:pPr>
            <w:r>
              <w:rPr>
                <w:rFonts w:ascii="Poppins" w:cs="Poppins" w:eastAsia="Poppins" w:hAnsi="Poppins"/>
                <w:b/>
                <w:bCs/>
                <w:color w:val="B3261E"/>
                <w:sz w:val="21"/>
                <w:szCs w:val="21"/>
              </w:rPr>
              <w:t xml:space="preserve">Important — BSA supports, it does not replace, the broker</w:t>
            </w:r>
          </w:p>
          <w:p>
            <w:pPr>
              <w:spacing w:after="60"/>
            </w:pPr>
            <w:r>
              <w:rPr>
                <w:sz w:val="20"/>
                <w:szCs w:val="20"/>
              </w:rPr>
              <w:t xml:space="preserve">BSA is decision support for licensed real estate practitioners (RA 9646). It does not appraise property or give price opinions; the broker still advises the client and closes the deal.</w:t>
            </w:r>
          </w:p>
        </w:tc>
      </w:tr>
    </w:tbl>
    <w:p>
      <w:pPr>
        <w:pStyle w:val="Heading1"/>
        <w:pageBreakBefore/>
      </w:pPr>
      <w:r>
        <w:t xml:space="preserve">2. Key ideas in two minutes</w:t>
      </w:r>
    </w:p>
    <w:p>
      <w:pPr>
        <w:pStyle w:val="Heading2"/>
      </w:pPr>
      <w:r>
        <w:t xml:space="preserve">2.1 The recommendation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7"/>
        <w:gridCol w:w="3610"/>
        <w:gridCol w:w="3069"/>
      </w:tblGrid>
      <w:tr>
        <w:trPr>
          <w:tblHeader/>
        </w:trPr>
        <w:tc>
          <w:tcPr>
            <w:tcW w:type="dxa" w:w="2347"/>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You see</w:t>
            </w:r>
          </w:p>
        </w:tc>
        <w:tc>
          <w:tcPr>
            <w:tcW w:type="dxa" w:w="3610"/>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It means</w:t>
            </w:r>
          </w:p>
        </w:tc>
        <w:tc>
          <w:tcPr>
            <w:tcW w:type="dxa" w:w="3069"/>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What to do</w:t>
            </w:r>
          </w:p>
        </w:tc>
      </w:tr>
      <w:tr>
        <w:tc>
          <w:tcPr>
            <w:tcW w:type="dxa" w:w="2347"/>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 </w:t>
            </w:r>
            <w:r>
              <w:rPr>
                <w:b/>
                <w:bCs/>
                <w:sz w:val="19"/>
                <w:szCs w:val="19"/>
              </w:rPr>
              <w:t xml:space="preserve">Proceed</w:t>
            </w:r>
            <w:r>
              <w:rPr>
                <w:sz w:val="19"/>
                <w:szCs w:val="19"/>
              </w:rPr>
              <w:t xml:space="preserve"> (green)</w:t>
            </w:r>
          </w:p>
        </w:tc>
        <w:tc>
          <w:tcPr>
            <w:tcW w:type="dxa" w:w="3610"/>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The evidence supports this site (composite score 65 or higher).</w:t>
            </w:r>
          </w:p>
        </w:tc>
        <w:tc>
          <w:tcPr>
            <w:tcW w:type="dxa" w:w="3069"/>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Move to site visit, negotiation and due diligence.</w:t>
            </w:r>
          </w:p>
        </w:tc>
      </w:tr>
      <w:tr>
        <w:tc>
          <w:tcPr>
            <w:tcW w:type="dxa" w:w="2347"/>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 </w:t>
            </w:r>
            <w:r>
              <w:rPr>
                <w:b/>
                <w:bCs/>
                <w:sz w:val="19"/>
                <w:szCs w:val="19"/>
              </w:rPr>
              <w:t xml:space="preserve">Proceed with caution</w:t>
            </w:r>
            <w:r>
              <w:rPr>
                <w:sz w:val="19"/>
                <w:szCs w:val="19"/>
              </w:rPr>
              <w:t xml:space="preserve"> (amber)</w:t>
            </w:r>
          </w:p>
        </w:tc>
        <w:tc>
          <w:tcPr>
            <w:tcW w:type="dxa" w:w="3610"/>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Mixed evidence (score 45–64) or important data is missing.</w:t>
            </w:r>
          </w:p>
        </w:tc>
        <w:tc>
          <w:tcPr>
            <w:tcW w:type="dxa" w:w="3069"/>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Read “What drove this call”; check the flagged items on the ground.</w:t>
            </w:r>
          </w:p>
        </w:tc>
      </w:tr>
      <w:tr>
        <w:tc>
          <w:tcPr>
            <w:tcW w:type="dxa" w:w="2347"/>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 </w:t>
            </w:r>
            <w:r>
              <w:rPr>
                <w:b/>
                <w:bCs/>
                <w:sz w:val="19"/>
                <w:szCs w:val="19"/>
              </w:rPr>
              <w:t xml:space="preserve">No-Go</w:t>
            </w:r>
            <w:r>
              <w:rPr>
                <w:sz w:val="19"/>
                <w:szCs w:val="19"/>
              </w:rPr>
              <w:t xml:space="preserve"> (red)</w:t>
            </w:r>
          </w:p>
        </w:tc>
        <w:tc>
          <w:tcPr>
            <w:tcW w:type="dxa" w:w="3610"/>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The evidence argues against this site (score below 45).</w:t>
            </w:r>
          </w:p>
        </w:tc>
        <w:tc>
          <w:tcPr>
            <w:tcW w:type="dxa" w:w="3069"/>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Look at the reasons and at White-Space alternatives nearby.</w:t>
            </w:r>
          </w:p>
        </w:tc>
      </w:tr>
      <w:tr>
        <w:tc>
          <w:tcPr>
            <w:tcW w:type="dxa" w:w="2347"/>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 </w:t>
            </w:r>
            <w:r>
              <w:rPr>
                <w:b/>
                <w:bCs/>
                <w:sz w:val="19"/>
                <w:szCs w:val="19"/>
              </w:rPr>
              <w:t xml:space="preserve">Not enough data</w:t>
            </w:r>
          </w:p>
        </w:tc>
        <w:tc>
          <w:tcPr>
            <w:tcW w:type="dxa" w:w="3610"/>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BSA cannot make a responsible call yet.</w:t>
            </w:r>
          </w:p>
        </w:tc>
        <w:tc>
          <w:tcPr>
            <w:tcW w:type="dxa" w:w="3069"/>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Add data (e.g. an asking rent) or re-run when more data is loaded.</w:t>
            </w:r>
          </w:p>
        </w:tc>
      </w:tr>
    </w:tbl>
    <w:p>
      <w:pPr>
        <w:spacing w:after="120"/>
      </w:pPr>
    </w:p>
    <w:p>
      <w:pPr>
        <w:spacing w:after="120"/>
      </w:pPr>
      <w:r>
        <w:t xml:space="preserve">Statuses always show an icon and a word as well as a colour, so they are readable for everyone and when printed in black and white.</w:t>
      </w:r>
    </w:p>
    <w:p>
      <w:pPr>
        <w:pStyle w:val="Heading2"/>
      </w:pPr>
      <w:r>
        <w:t xml:space="preserve">2.2 The Truth Layer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5"/>
        <w:gridCol w:w="3791"/>
        <w:gridCol w:w="3610"/>
      </w:tblGrid>
      <w:tr>
        <w:trPr>
          <w:tblHeader/>
        </w:trPr>
        <w:tc>
          <w:tcPr>
            <w:tcW w:type="dxa" w:w="1625"/>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Label</w:t>
            </w:r>
          </w:p>
        </w:tc>
        <w:tc>
          <w:tcPr>
            <w:tcW w:type="dxa" w:w="3791"/>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Meaning</w:t>
            </w:r>
          </w:p>
        </w:tc>
        <w:tc>
          <w:tcPr>
            <w:tcW w:type="dxa" w:w="3610"/>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Example</w:t>
            </w:r>
          </w:p>
        </w:tc>
      </w:tr>
      <w:tr>
        <w:tc>
          <w:tcPr>
            <w:tcW w:type="dxa" w:w="1625"/>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 </w:t>
            </w:r>
            <w:r>
              <w:rPr>
                <w:b/>
                <w:bCs/>
                <w:sz w:val="19"/>
                <w:szCs w:val="19"/>
              </w:rPr>
              <w:t xml:space="preserve">Verified</w:t>
            </w:r>
          </w:p>
        </w:tc>
        <w:tc>
          <w:tcPr>
            <w:tcW w:type="dxa" w:w="3791"/>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Measured or taken from an official or published source.</w:t>
            </w:r>
          </w:p>
        </w:tc>
        <w:tc>
          <w:tcPr>
            <w:tcW w:type="dxa" w:w="3610"/>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Barangay population (PSA), a competitor’s location.</w:t>
            </w:r>
          </w:p>
        </w:tc>
      </w:tr>
      <w:tr>
        <w:tc>
          <w:tcPr>
            <w:tcW w:type="dxa" w:w="1625"/>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 </w:t>
            </w:r>
            <w:r>
              <w:rPr>
                <w:b/>
                <w:bCs/>
                <w:sz w:val="19"/>
                <w:szCs w:val="19"/>
              </w:rPr>
              <w:t xml:space="preserve">Assumed</w:t>
            </w:r>
          </w:p>
        </w:tc>
        <w:tc>
          <w:tcPr>
            <w:tcW w:type="dxa" w:w="3791"/>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A reasonable estimate with a stated basis.</w:t>
            </w:r>
          </w:p>
        </w:tc>
        <w:tc>
          <w:tcPr>
            <w:tcW w:type="dxa" w:w="3610"/>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Where a rent sits among comparable leases.</w:t>
            </w:r>
          </w:p>
        </w:tc>
      </w:tr>
      <w:tr>
        <w:tc>
          <w:tcPr>
            <w:tcW w:type="dxa" w:w="1625"/>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 </w:t>
            </w:r>
            <w:r>
              <w:rPr>
                <w:b/>
                <w:bCs/>
                <w:sz w:val="19"/>
                <w:szCs w:val="19"/>
              </w:rPr>
              <w:t xml:space="preserve">Projected</w:t>
            </w:r>
          </w:p>
        </w:tc>
        <w:tc>
          <w:tcPr>
            <w:tcW w:type="dxa" w:w="3791"/>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Calculated by a model.</w:t>
            </w:r>
          </w:p>
        </w:tc>
        <w:tc>
          <w:tcPr>
            <w:tcW w:type="dxa" w:w="3610"/>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Estimated monthly cannibalisation.</w:t>
            </w:r>
          </w:p>
        </w:tc>
      </w:tr>
    </w:tbl>
    <w:p>
      <w:pPr>
        <w:spacing w:after="120"/>
      </w:pPr>
    </w:p>
    <w:p>
      <w:pPr>
        <w:spacing w:after="120"/>
      </w:pPr>
      <w:r>
        <w:t xml:space="preserve">Every figure in BSA carries one of these labels, on screen and in every report. When data is missing BSA shows “—” — it never invents a number.</w:t>
      </w:r>
    </w:p>
    <w:p>
      <w:pPr>
        <w:pStyle w:val="Heading2"/>
      </w:pPr>
      <w:r>
        <w:t xml:space="preserve">2.3 Confidence</w:t>
      </w:r>
    </w:p>
    <w:p>
      <w:pPr>
        <w:spacing w:after="120"/>
      </w:pPr>
      <w:r>
        <w:t xml:space="preserve">Each run shows a confidence level — </w:t>
      </w:r>
      <w:r>
        <w:rPr>
          <w:b/>
          <w:bCs/>
        </w:rPr>
        <w:t xml:space="preserve">High</w:t>
      </w:r>
      <w:r>
        <w:t xml:space="preserve"> (safe to act on with normal diligence), </w:t>
      </w:r>
      <w:r>
        <w:rPr>
          <w:b/>
          <w:bCs/>
        </w:rPr>
        <w:t xml:space="preserve">Medium</w:t>
      </w:r>
      <w:r>
        <w:t xml:space="preserve"> (confirm key assumptions) or </w:t>
      </w:r>
      <w:r>
        <w:rPr>
          <w:b/>
          <w:bCs/>
        </w:rPr>
        <w:t xml:space="preserve">Low</w:t>
      </w:r>
      <w:r>
        <w:t xml:space="preserve"> (verify before acting) — based on how much of the evidence is Verified versus Assumed or Projected.</w:t>
      </w:r>
    </w:p>
    <w:p>
      <w:pPr>
        <w:pStyle w:val="Heading2"/>
      </w:pPr>
      <w:r>
        <w:t xml:space="preserve">2.4 Rent is a position, not a verdict</w:t>
      </w:r>
    </w:p>
    <w:p>
      <w:pPr>
        <w:spacing w:after="120"/>
      </w:pPr>
      <w:r>
        <w:t xml:space="preserve">BSA tells you where an asking rent sits among comparable leases in the corridor (for example, “above the corridor median, 72nd percentile”). It never says a rent is cheap, expensive or a good deal — that judgement is the broker’s. BIR zonal values appear only as tax-reference floors.</w:t>
      </w:r>
    </w:p>
    <w:p>
      <w:pPr>
        <w:pStyle w:val="Heading1"/>
        <w:pageBreakBefore/>
      </w:pPr>
      <w:r>
        <w:t xml:space="preserve">3. The user journey</w:t>
      </w:r>
    </w:p>
    <w:p>
      <w:pPr>
        <w:spacing w:after="60" w:before="120"/>
        <w:jc w:val="center"/>
      </w:pPr>
      <w:r>
        <w:drawing>
          <wp:inline distT="0" distB="0" distL="0" distR="0">
            <wp:extent cx="5715000" cy="2733675"/>
            <wp:effectExtent t="0" r="0" b="0" l="0"/>
            <wp:docPr id="1" name="Figure 1 — The BSA user journey" descr="Figure 1 — The BSA user journey" title="Figure 1 — The BSA user journ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733675"/>
                    </a:xfrm>
                    <a:prstGeom prst="rect">
                      <a:avLst/>
                    </a:prstGeom>
                  </pic:spPr>
                </pic:pic>
              </a:graphicData>
            </a:graphic>
          </wp:inline>
        </w:drawing>
      </w:r>
    </w:p>
    <w:p>
      <w:pPr>
        <w:spacing w:after="200"/>
        <w:jc w:val="center"/>
      </w:pPr>
      <w:r>
        <w:rPr>
          <w:i/>
          <w:iCs/>
          <w:color w:val="4A5873"/>
          <w:sz w:val="18"/>
          <w:szCs w:val="18"/>
        </w:rPr>
        <w:t xml:space="preserve">Figure 1 — The BSA user journey</w:t>
      </w:r>
    </w:p>
    <w:p>
      <w:pPr>
        <w:pStyle w:val="Heading2"/>
      </w:pPr>
      <w:r>
        <w:t xml:space="preserve">3.1 Journeys by role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2"/>
        <w:gridCol w:w="2888"/>
        <w:gridCol w:w="2888"/>
        <w:gridCol w:w="2528"/>
      </w:tblGrid>
      <w:tr>
        <w:trPr>
          <w:tblHeader/>
        </w:trPr>
        <w:tc>
          <w:tcPr>
            <w:tcW w:type="dxa" w:w="722"/>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Step</w:t>
            </w:r>
          </w:p>
        </w:tc>
        <w:tc>
          <w:tcPr>
            <w:tcW w:type="dxa" w:w="2888"/>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Broker advising a client</w:t>
            </w:r>
          </w:p>
        </w:tc>
        <w:tc>
          <w:tcPr>
            <w:tcW w:type="dxa" w:w="2888"/>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Franchisor expansion team</w:t>
            </w:r>
          </w:p>
        </w:tc>
        <w:tc>
          <w:tcPr>
            <w:tcW w:type="dxa" w:w="2528"/>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Franchisee / independent</w:t>
            </w:r>
          </w:p>
        </w:tc>
      </w:tr>
      <w:tr>
        <w:tc>
          <w:tcPr>
            <w:tcW w:type="dxa" w:w="722"/>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1</w:t>
            </w:r>
          </w:p>
        </w:tc>
        <w:tc>
          <w:tcPr>
            <w:tcW w:type="dxa" w:w="2888"/>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Sign in</w:t>
            </w:r>
          </w:p>
        </w:tc>
        <w:tc>
          <w:tcPr>
            <w:tcW w:type="dxa" w:w="2888"/>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Sign in</w:t>
            </w:r>
          </w:p>
        </w:tc>
        <w:tc>
          <w:tcPr>
            <w:tcW w:type="dxa" w:w="2528"/>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Create an account</w:t>
            </w:r>
          </w:p>
        </w:tc>
      </w:tr>
      <w:tr>
        <w:tc>
          <w:tcPr>
            <w:tcW w:type="dxa" w:w="722"/>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2</w:t>
            </w:r>
          </w:p>
        </w:tc>
        <w:tc>
          <w:tcPr>
            <w:tcW w:type="dxa" w:w="2888"/>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Screen brands for the client’s budget and space</w:t>
            </w:r>
          </w:p>
        </w:tc>
        <w:tc>
          <w:tcPr>
            <w:tcW w:type="dxa" w:w="2888"/>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Skip (brand is known)</w:t>
            </w:r>
          </w:p>
        </w:tc>
        <w:tc>
          <w:tcPr>
            <w:tcW w:type="dxa" w:w="2528"/>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Screen brands for your budget and space</w:t>
            </w:r>
          </w:p>
        </w:tc>
      </w:tr>
      <w:tr>
        <w:tc>
          <w:tcPr>
            <w:tcW w:type="dxa" w:w="722"/>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3</w:t>
            </w:r>
          </w:p>
        </w:tc>
        <w:tc>
          <w:tcPr>
            <w:tcW w:type="dxa" w:w="2888"/>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New Intake with the client’s brand and 3–5 shortlisted sites</w:t>
            </w:r>
          </w:p>
        </w:tc>
        <w:tc>
          <w:tcPr>
            <w:tcW w:type="dxa" w:w="2888"/>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New Intake with your brand, your existing branches and candidate sites</w:t>
            </w:r>
          </w:p>
        </w:tc>
        <w:tc>
          <w:tcPr>
            <w:tcW w:type="dxa" w:w="2528"/>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Start an intake from the chosen brand card</w:t>
            </w:r>
          </w:p>
        </w:tc>
      </w:tr>
      <w:tr>
        <w:tc>
          <w:tcPr>
            <w:tcW w:type="dxa" w:w="722"/>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4</w:t>
            </w:r>
          </w:p>
        </w:tc>
        <w:tc>
          <w:tcPr>
            <w:tcW w:type="dxa" w:w="2888"/>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Wait about 1–2 minutes for the analysis</w:t>
            </w:r>
          </w:p>
        </w:tc>
        <w:tc>
          <w:tcPr>
            <w:tcW w:type="dxa" w:w="2888"/>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Same</w:t>
            </w:r>
          </w:p>
        </w:tc>
        <w:tc>
          <w:tcPr>
            <w:tcW w:type="dxa" w:w="2528"/>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Same</w:t>
            </w:r>
          </w:p>
        </w:tc>
      </w:tr>
      <w:tr>
        <w:tc>
          <w:tcPr>
            <w:tcW w:type="dxa" w:w="722"/>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5</w:t>
            </w:r>
          </w:p>
        </w:tc>
        <w:tc>
          <w:tcPr>
            <w:tcW w:type="dxa" w:w="2888"/>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Review the Site Dashboard; open the top sites</w:t>
            </w:r>
          </w:p>
        </w:tc>
        <w:tc>
          <w:tcPr>
            <w:tcW w:type="dxa" w:w="2888"/>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Check Territory Guard for cannibalisation of your branches</w:t>
            </w:r>
          </w:p>
        </w:tc>
        <w:tc>
          <w:tcPr>
            <w:tcW w:type="dxa" w:w="2528"/>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Read each site’s Final Report</w:t>
            </w:r>
          </w:p>
        </w:tc>
      </w:tr>
      <w:tr>
        <w:tc>
          <w:tcPr>
            <w:tcW w:type="dxa" w:w="722"/>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6</w:t>
            </w:r>
          </w:p>
        </w:tc>
        <w:tc>
          <w:tcPr>
            <w:tcW w:type="dxa" w:w="2888"/>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Enter asking rents as quotes arrive (Lease Benchmark)</w:t>
            </w:r>
          </w:p>
        </w:tc>
        <w:tc>
          <w:tcPr>
            <w:tcW w:type="dxa" w:w="2888"/>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Look at White-Space for better areas</w:t>
            </w:r>
          </w:p>
        </w:tc>
        <w:tc>
          <w:tcPr>
            <w:tcW w:type="dxa" w:w="2528"/>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Enter the landlord’s asking rent</w:t>
            </w:r>
          </w:p>
        </w:tc>
      </w:tr>
      <w:tr>
        <w:tc>
          <w:tcPr>
            <w:tcW w:type="dxa" w:w="722"/>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7</w:t>
            </w:r>
          </w:p>
        </w:tc>
        <w:tc>
          <w:tcPr>
            <w:tcW w:type="dxa" w:w="2888"/>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Export the site PDF / run report for the client meeting</w:t>
            </w:r>
          </w:p>
        </w:tc>
        <w:tc>
          <w:tcPr>
            <w:tcW w:type="dxa" w:w="2888"/>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Share the run report internally</w:t>
            </w:r>
          </w:p>
        </w:tc>
        <w:tc>
          <w:tcPr>
            <w:tcW w:type="dxa" w:w="2528"/>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Take the PDF to your broker and franchisor</w:t>
            </w:r>
          </w:p>
        </w:tc>
      </w:tr>
    </w:tbl>
    <w:p>
      <w:pPr>
        <w:pStyle w:val="Heading1"/>
        <w:pageBreakBefore/>
      </w:pPr>
      <w:r>
        <w:t xml:space="preserve">4. Getting started</w:t>
      </w:r>
    </w:p>
    <w:p>
      <w:pPr>
        <w:pStyle w:val="Heading2"/>
      </w:pPr>
      <w:r>
        <w:t xml:space="preserve">4.1 Sign in or create an account</w:t>
      </w:r>
    </w:p>
    <w:p>
      <w:pPr>
        <w:pStyle w:val="ListParagraph"/>
        <w:numPr>
          <w:ilvl w:val="0"/>
          <w:numId w:val="3"/>
        </w:numPr>
        <w:spacing w:after="60"/>
      </w:pPr>
      <w:r>
        <w:t xml:space="preserve">Open BSA in your browser. The sign-in page has two tabs: </w:t>
      </w:r>
      <w:r>
        <w:rPr>
          <w:b/>
          <w:bCs/>
        </w:rPr>
        <w:t xml:space="preserve">Sign in</w:t>
      </w:r>
      <w:r>
        <w:t xml:space="preserve"> and </w:t>
      </w:r>
      <w:r>
        <w:rPr>
          <w:b/>
          <w:bCs/>
        </w:rPr>
        <w:t xml:space="preserve">Create account</w:t>
      </w:r>
      <w:r>
        <w:t xml:space="preserve">.</w:t>
      </w:r>
    </w:p>
    <w:p>
      <w:pPr>
        <w:pStyle w:val="ListParagraph"/>
        <w:numPr>
          <w:ilvl w:val="0"/>
          <w:numId w:val="3"/>
        </w:numPr>
        <w:spacing w:after="60"/>
      </w:pPr>
      <w:r>
        <w:t xml:space="preserve">To create an account, choose a username and a password of at least 10 characters, confirm it, and select </w:t>
      </w:r>
      <w:r>
        <w:rPr>
          <w:b/>
          <w:bCs/>
        </w:rPr>
        <w:t xml:space="preserve">Create account &amp; start</w:t>
      </w:r>
      <w:r>
        <w:t xml:space="preserve">.</w:t>
      </w:r>
    </w:p>
    <w:p>
      <w:pPr>
        <w:pStyle w:val="ListParagraph"/>
        <w:numPr>
          <w:ilvl w:val="0"/>
          <w:numId w:val="3"/>
        </w:numPr>
        <w:spacing w:after="60"/>
      </w:pPr>
      <w:r>
        <w:t xml:space="preserve">To sign in, enter your username or email and password, then </w:t>
      </w:r>
      <w:r>
        <w:rPr>
          <w:b/>
          <w:bCs/>
        </w:rPr>
        <w:t xml:space="preserve">Sign in</w:t>
      </w:r>
      <w:r>
        <w:t xml:space="preserve">.</w:t>
      </w:r>
    </w:p>
    <w:p>
      <w:pPr>
        <w:pStyle w:val="ListParagraph"/>
        <w:numPr>
          <w:ilvl w:val="0"/>
          <w:numId w:val="3"/>
        </w:numPr>
        <w:spacing w:after="60"/>
      </w:pPr>
      <w:r>
        <w:t xml:space="preserve">Forgotten password? Ask your Grid administrator to reset it.</w:t>
      </w:r>
    </w:p>
    <w:p>
      <w:pPr>
        <w:spacing w:after="120"/>
      </w:pPr>
      <w:r>
        <w:t xml:space="preserve">New accounts see a short guided tour on the first visit. You can replay it any time from </w:t>
      </w:r>
      <w:r>
        <w:rPr>
          <w:b/>
          <w:bCs/>
        </w:rPr>
        <w:t xml:space="preserve">Settings</w:t>
      </w:r>
      <w:r>
        <w:t xml:space="preserve">.</w:t>
      </w:r>
    </w:p>
    <w:p>
      <w:pPr>
        <w:pStyle w:val="Heading2"/>
      </w:pPr>
      <w:r>
        <w:t xml:space="preserve">4.2 Finding your way around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Area</w:t>
            </w:r>
          </w:p>
        </w:tc>
        <w:tc>
          <w:tcPr>
            <w:tcW w:type="dxa" w:w="6318"/>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What it does</w:t>
            </w:r>
          </w:p>
        </w:tc>
      </w:tr>
      <w:tr>
        <w:tc>
          <w:tcPr>
            <w:tcW w:type="dxa" w:w="2708"/>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b/>
                <w:bCs/>
                <w:sz w:val="19"/>
                <w:szCs w:val="19"/>
              </w:rPr>
              <w:t xml:space="preserve">Franchise Screening</w:t>
            </w:r>
          </w:p>
        </w:tc>
        <w:tc>
          <w:tcPr>
            <w:tcW w:type="dxa" w:w="6318"/>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Find franchise brands that fit a budget and floor area.</w:t>
            </w:r>
          </w:p>
        </w:tc>
      </w:tr>
      <w:tr>
        <w:tc>
          <w:tcPr>
            <w:tcW w:type="dxa" w:w="2708"/>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b/>
                <w:bCs/>
                <w:sz w:val="19"/>
                <w:szCs w:val="19"/>
              </w:rPr>
              <w:t xml:space="preserve">Site Dashboard</w:t>
            </w:r>
          </w:p>
        </w:tc>
        <w:tc>
          <w:tcPr>
            <w:tcW w:type="dxa" w:w="6318"/>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All your analysis runs; open one to see its sites and calls.</w:t>
            </w:r>
          </w:p>
        </w:tc>
      </w:tr>
      <w:tr>
        <w:tc>
          <w:tcPr>
            <w:tcW w:type="dxa" w:w="2708"/>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b/>
                <w:bCs/>
                <w:sz w:val="19"/>
                <w:szCs w:val="19"/>
              </w:rPr>
              <w:t xml:space="preserve">New Intake</w:t>
            </w:r>
          </w:p>
        </w:tc>
        <w:tc>
          <w:tcPr>
            <w:tcW w:type="dxa" w:w="6318"/>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Start a new analysis (up to five sites).</w:t>
            </w:r>
          </w:p>
        </w:tc>
      </w:tr>
      <w:tr>
        <w:tc>
          <w:tcPr>
            <w:tcW w:type="dxa" w:w="2708"/>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b/>
                <w:bCs/>
                <w:sz w:val="19"/>
                <w:szCs w:val="19"/>
              </w:rPr>
              <w:t xml:space="preserve">Settings</w:t>
            </w:r>
            <w:r>
              <w:rPr>
                <w:sz w:val="19"/>
                <w:szCs w:val="19"/>
              </w:rPr>
              <w:t xml:space="preserve"> (bottom of the menu)</w:t>
            </w:r>
          </w:p>
        </w:tc>
        <w:tc>
          <w:tcPr>
            <w:tcW w:type="dxa" w:w="6318"/>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Change password, appearance (dark / light / match device), replay the tour.</w:t>
            </w:r>
          </w:p>
        </w:tc>
      </w:tr>
      <w:tr>
        <w:tc>
          <w:tcPr>
            <w:tcW w:type="dxa" w:w="2708"/>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b/>
                <w:bCs/>
                <w:sz w:val="19"/>
                <w:szCs w:val="19"/>
              </w:rPr>
              <w:t xml:space="preserve">Log out</w:t>
            </w:r>
          </w:p>
        </w:tc>
        <w:tc>
          <w:tcPr>
            <w:tcW w:type="dxa" w:w="6318"/>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Signs you out on this device.</w:t>
            </w:r>
          </w:p>
        </w:tc>
      </w:tr>
    </w:tbl>
    <w:p>
      <w:pPr>
        <w:spacing w:after="120"/>
      </w:pPr>
    </w:p>
    <w:p>
      <w:pPr>
        <w:spacing w:after="120"/>
      </w:pPr>
      <w:r>
        <w:t xml:space="preserve">On a phone, tap </w:t>
      </w:r>
      <w:r>
        <w:rPr>
          <w:b/>
          <w:bCs/>
        </w:rPr>
        <w:t xml:space="preserve">☰</w:t>
      </w:r>
      <w:r>
        <w:t xml:space="preserve"> at the top right to open the menu. The notice at the bottom of every page is the RA 9646 broker notice.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E7A52" w:sz="24"/>
              <w:bottom w:val="none" w:color="FFFFFF" w:sz="0"/>
              <w:right w:val="none" w:color="FFFFFF" w:sz="0"/>
            </w:tcBorders>
            <w:shd w:fill="EEF6F1" w:color="auto" w:val="clear"/>
            <w:tcMar>
              <w:top w:type="dxa" w:w="120"/>
              <w:left w:type="dxa" w:w="200"/>
              <w:bottom w:type="dxa" w:w="120"/>
              <w:right w:type="dxa" w:w="200"/>
            </w:tcMar>
          </w:tcPr>
          <w:p>
            <w:pPr>
              <w:spacing w:after="80"/>
            </w:pPr>
            <w:r>
              <w:rPr>
                <w:rFonts w:ascii="Poppins" w:cs="Poppins" w:eastAsia="Poppins" w:hAnsi="Poppins"/>
                <w:b/>
                <w:bCs/>
                <w:color w:val="1E7A52"/>
                <w:sz w:val="21"/>
                <w:szCs w:val="21"/>
              </w:rPr>
              <w:t xml:space="preserve">Tip</w:t>
            </w:r>
          </w:p>
          <w:p>
            <w:pPr>
              <w:spacing w:after="60"/>
            </w:pPr>
            <w:r>
              <w:rPr>
                <w:sz w:val="20"/>
                <w:szCs w:val="20"/>
              </w:rPr>
              <w:t xml:space="preserve">Switch to </w:t>
            </w:r>
            <w:r>
              <w:rPr>
                <w:b/>
                <w:bCs/>
                <w:sz w:val="20"/>
                <w:szCs w:val="20"/>
              </w:rPr>
              <w:t xml:space="preserve">Light</w:t>
            </w:r>
            <w:r>
              <w:rPr>
                <w:sz w:val="20"/>
                <w:szCs w:val="20"/>
              </w:rPr>
              <w:t xml:space="preserve"> appearance (Settings → Appearance) for bright outdoor site visits.</w:t>
            </w:r>
          </w:p>
        </w:tc>
      </w:tr>
    </w:tbl>
    <w:p>
      <w:pPr>
        <w:pStyle w:val="Heading1"/>
        <w:pageBreakBefore/>
      </w:pPr>
      <w:r>
        <w:t xml:space="preserve">5. Franchise Screening</w:t>
      </w:r>
    </w:p>
    <w:p>
      <w:pPr>
        <w:spacing w:after="120"/>
      </w:pPr>
      <w:r>
        <w:t xml:space="preserve">Use this to build a shortlist of brands your client (or you) can afford and fit.</w:t>
      </w:r>
    </w:p>
    <w:p>
      <w:pPr>
        <w:pStyle w:val="ListParagraph"/>
        <w:numPr>
          <w:ilvl w:val="0"/>
          <w:numId w:val="4"/>
        </w:numPr>
        <w:spacing w:after="60"/>
      </w:pPr>
      <w:r>
        <w:t xml:space="preserve">Open </w:t>
      </w:r>
      <w:r>
        <w:rPr>
          <w:b/>
          <w:bCs/>
        </w:rPr>
        <w:t xml:space="preserve">Franchise Screening</w:t>
      </w:r>
      <w:r>
        <w:t xml:space="preserve"> from the menu.</w:t>
      </w:r>
    </w:p>
    <w:p>
      <w:pPr>
        <w:pStyle w:val="ListParagraph"/>
        <w:numPr>
          <w:ilvl w:val="0"/>
          <w:numId w:val="4"/>
        </w:numPr>
        <w:spacing w:after="60"/>
      </w:pPr>
      <w:r>
        <w:t xml:space="preserve">Set </w:t>
      </w:r>
      <w:r>
        <w:rPr>
          <w:b/>
          <w:bCs/>
        </w:rPr>
        <w:t xml:space="preserve">Your budget</w:t>
      </w:r>
      <w:r>
        <w:t xml:space="preserve"> (for example 2M) and </w:t>
      </w:r>
      <w:r>
        <w:rPr>
          <w:b/>
          <w:bCs/>
        </w:rPr>
        <w:t xml:space="preserve">Available floor area</w:t>
      </w:r>
      <w:r>
        <w:t xml:space="preserve"> (for example 80 sqm). Choose </w:t>
      </w:r>
      <w:r>
        <w:rPr>
          <w:b/>
          <w:bCs/>
        </w:rPr>
        <w:t xml:space="preserve">Other…</w:t>
      </w:r>
      <w:r>
        <w:t xml:space="preserve"> to type an exact value.</w:t>
      </w:r>
    </w:p>
    <w:p>
      <w:pPr>
        <w:pStyle w:val="ListParagraph"/>
        <w:numPr>
          <w:ilvl w:val="0"/>
          <w:numId w:val="4"/>
        </w:numPr>
        <w:spacing w:after="60"/>
      </w:pPr>
      <w:r>
        <w:t xml:space="preserve">Optionally narrow by </w:t>
      </w:r>
      <w:r>
        <w:rPr>
          <w:b/>
          <w:bCs/>
        </w:rPr>
        <w:t xml:space="preserve">Vertical</w:t>
      </w:r>
      <w:r>
        <w:t xml:space="preserve">, </w:t>
      </w:r>
      <w:r>
        <w:rPr>
          <w:b/>
          <w:bCs/>
        </w:rPr>
        <w:t xml:space="preserve">Source</w:t>
      </w:r>
      <w:r>
        <w:t xml:space="preserve">, </w:t>
      </w:r>
      <w:r>
        <w:rPr>
          <w:b/>
          <w:bCs/>
        </w:rPr>
        <w:t xml:space="preserve">Capital tier</w:t>
      </w:r>
      <w:r>
        <w:t xml:space="preserve"> and </w:t>
      </w:r>
      <w:r>
        <w:rPr>
          <w:b/>
          <w:bCs/>
        </w:rPr>
        <w:t xml:space="preserve">Truth Layer</w:t>
      </w:r>
      <w:r>
        <w:t xml:space="preserve">, and choose how to </w:t>
      </w:r>
      <w:r>
        <w:rPr>
          <w:b/>
          <w:bCs/>
        </w:rPr>
        <w:t xml:space="preserve">Sort</w:t>
      </w:r>
      <w:r>
        <w:t xml:space="preserve"> (best fit, lowest investment, fastest payback, smallest space).</w:t>
      </w:r>
    </w:p>
    <w:p>
      <w:pPr>
        <w:pStyle w:val="ListParagraph"/>
        <w:numPr>
          <w:ilvl w:val="0"/>
          <w:numId w:val="4"/>
        </w:numPr>
        <w:spacing w:after="60"/>
      </w:pPr>
      <w:r>
        <w:t xml:space="preserve">Type in </w:t>
      </w:r>
      <w:r>
        <w:rPr>
          <w:b/>
          <w:bCs/>
        </w:rPr>
        <w:t xml:space="preserve">Search a brand</w:t>
      </w:r>
      <w:r>
        <w:t xml:space="preserve"> to jump to a specific brand; suggestions appear as you type.</w:t>
      </w:r>
    </w:p>
    <w:p>
      <w:pPr>
        <w:pStyle w:val="ListParagraph"/>
        <w:numPr>
          <w:ilvl w:val="0"/>
          <w:numId w:val="4"/>
        </w:numPr>
        <w:spacing w:after="60"/>
      </w:pPr>
      <w:r>
        <w:t xml:space="preserve">Read each brand card: investment, space, franchise fee, payback, tier, fit score and whether it is within reach. The Truth Layer chip shows how reliable the figures are.</w:t>
      </w:r>
    </w:p>
    <w:p>
      <w:pPr>
        <w:pStyle w:val="ListParagraph"/>
        <w:numPr>
          <w:ilvl w:val="0"/>
          <w:numId w:val="4"/>
        </w:numPr>
        <w:spacing w:after="60"/>
      </w:pPr>
      <w:r>
        <w:t xml:space="preserve">Tick </w:t>
      </w:r>
      <w:r>
        <w:rPr>
          <w:b/>
          <w:bCs/>
        </w:rPr>
        <w:t xml:space="preserve">Hide out-of-reach</w:t>
      </w:r>
      <w:r>
        <w:t xml:space="preserve"> to see only brands within budget and space. Remove any filter with the ✕ on its chip, or </w:t>
      </w:r>
      <w:r>
        <w:rPr>
          <w:b/>
          <w:bCs/>
        </w:rPr>
        <w:t xml:space="preserve">Clear all</w:t>
      </w:r>
      <w:r>
        <w:t xml:space="preserve">.</w:t>
      </w:r>
    </w:p>
    <w:p>
      <w:pPr>
        <w:pStyle w:val="ListParagraph"/>
        <w:numPr>
          <w:ilvl w:val="0"/>
          <w:numId w:val="4"/>
        </w:numPr>
        <w:spacing w:after="60"/>
      </w:pPr>
      <w:r>
        <w:t xml:space="preserve">Select </w:t>
      </w:r>
      <w:r>
        <w:rPr>
          <w:b/>
          <w:bCs/>
        </w:rPr>
        <w:t xml:space="preserve">Start intake with this brand</w:t>
      </w:r>
      <w:r>
        <w:t xml:space="preserve"> on the brand you want — the New Intake opens with that brand and its business type already selected.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C335E" w:sz="24"/>
              <w:bottom w:val="none" w:color="FFFFFF" w:sz="0"/>
              <w:right w:val="none" w:color="FFFFFF" w:sz="0"/>
            </w:tcBorders>
            <w:shd w:fill="F1F4F9" w:color="auto" w:val="clear"/>
            <w:tcMar>
              <w:top w:type="dxa" w:w="120"/>
              <w:left w:type="dxa" w:w="200"/>
              <w:bottom w:type="dxa" w:w="120"/>
              <w:right w:type="dxa" w:w="200"/>
            </w:tcMar>
          </w:tcPr>
          <w:p>
            <w:pPr>
              <w:spacing w:after="80"/>
            </w:pPr>
            <w:r>
              <w:rPr>
                <w:rFonts w:ascii="Poppins" w:cs="Poppins" w:eastAsia="Poppins" w:hAnsi="Poppins"/>
                <w:b/>
                <w:bCs/>
                <w:color w:val="1C335E"/>
                <w:sz w:val="21"/>
                <w:szCs w:val="21"/>
              </w:rPr>
              <w:t xml:space="preserve">Good to know</w:t>
            </w:r>
          </w:p>
          <w:p>
            <w:pPr>
              <w:spacing w:after="60"/>
            </w:pPr>
            <w:r>
              <w:rPr>
                <w:sz w:val="20"/>
                <w:szCs w:val="20"/>
              </w:rPr>
              <w:t xml:space="preserve">Figures are franchisor-stated ranges; “(est.)” marks a franchisor estimate. Screening tells you which brands to consider — it is not an offer or a valuation.</w:t>
            </w:r>
          </w:p>
        </w:tc>
      </w:tr>
    </w:tbl>
    <w:p>
      <w:pPr>
        <w:pStyle w:val="Heading1"/>
        <w:pageBreakBefore/>
      </w:pPr>
      <w:r>
        <w:t xml:space="preserve">6. New Intake</w:t>
      </w:r>
    </w:p>
    <w:p>
      <w:pPr>
        <w:spacing w:after="120"/>
      </w:pPr>
      <w:r>
        <w:t xml:space="preserve">The intake has four steps. The progress bar at the top shows where you are (green = done, tan = current). Your progress stays on screen until you submit.</w:t>
      </w:r>
    </w:p>
    <w:p>
      <w:pPr>
        <w:pStyle w:val="Heading2"/>
      </w:pPr>
      <w:r>
        <w:t xml:space="preserve">6.1 Step 1 — Business vertical and brand</w:t>
      </w:r>
    </w:p>
    <w:p>
      <w:pPr>
        <w:pStyle w:val="ListParagraph"/>
        <w:numPr>
          <w:ilvl w:val="0"/>
          <w:numId w:val="5"/>
        </w:numPr>
        <w:spacing w:after="60"/>
      </w:pPr>
      <w:r>
        <w:t xml:space="preserve">Choose the </w:t>
      </w:r>
      <w:r>
        <w:rPr>
          <w:b/>
          <w:bCs/>
        </w:rPr>
        <w:t xml:space="preserve">business vertical</w:t>
      </w:r>
      <w:r>
        <w:t xml:space="preserve"> card that matches the concept (for example Café, QSR, Pharmacy). The vertical decides which analyses run.</w:t>
      </w:r>
    </w:p>
    <w:p>
      <w:pPr>
        <w:pStyle w:val="ListParagraph"/>
        <w:numPr>
          <w:ilvl w:val="0"/>
          <w:numId w:val="5"/>
        </w:numPr>
        <w:spacing w:after="60"/>
      </w:pPr>
      <w:r>
        <w:t xml:space="preserve">Choose the business type: </w:t>
      </w:r>
      <w:r>
        <w:rPr>
          <w:b/>
          <w:bCs/>
        </w:rPr>
        <w:t xml:space="preserve">Existing franchise on file</w:t>
      </w:r>
      <w:r>
        <w:t xml:space="preserve"> or </w:t>
      </w:r>
      <w:r>
        <w:rPr>
          <w:b/>
          <w:bCs/>
        </w:rPr>
        <w:t xml:space="preserve">Independent business</w:t>
      </w:r>
      <w:r>
        <w:t xml:space="preserve">.</w:t>
      </w:r>
    </w:p>
    <w:p>
      <w:pPr>
        <w:pStyle w:val="ListParagraph"/>
        <w:numPr>
          <w:ilvl w:val="0"/>
          <w:numId w:val="5"/>
        </w:numPr>
        <w:spacing w:after="60"/>
      </w:pPr>
      <w:r>
        <w:t xml:space="preserve">For a franchise brand, pick it from the list (or choose </w:t>
      </w:r>
      <w:r>
        <w:rPr>
          <w:b/>
          <w:bCs/>
        </w:rPr>
        <w:t xml:space="preserve">＋ Add a new franchise brand…</w:t>
      </w:r>
      <w:r>
        <w:t xml:space="preserve"> if it is missing — it stays private to you). If the brand has a requirements template, select </w:t>
      </w:r>
      <w:r>
        <w:rPr>
          <w:b/>
          <w:bCs/>
        </w:rPr>
        <w:t xml:space="preserve">Use this template</w:t>
      </w:r>
      <w:r>
        <w:t xml:space="preserve"> to prefill the brief.</w:t>
      </w:r>
    </w:p>
    <w:p>
      <w:pPr>
        <w:pStyle w:val="ListParagraph"/>
        <w:numPr>
          <w:ilvl w:val="0"/>
          <w:numId w:val="5"/>
        </w:numPr>
        <w:spacing w:after="60"/>
      </w:pPr>
      <w:r>
        <w:t xml:space="preserve">For an independent business, type your business name and choose the </w:t>
      </w:r>
      <w:r>
        <w:rPr>
          <w:b/>
          <w:bCs/>
        </w:rPr>
        <w:t xml:space="preserve">most similar established brand</w:t>
      </w:r>
      <w:r>
        <w:t xml:space="preserve"> so BSA can compare like with like.</w:t>
      </w:r>
    </w:p>
    <w:p>
      <w:pPr>
        <w:pStyle w:val="ListParagraph"/>
        <w:numPr>
          <w:ilvl w:val="0"/>
          <w:numId w:val="5"/>
        </w:numPr>
        <w:spacing w:after="60"/>
      </w:pPr>
      <w:r>
        <w:t xml:space="preserve">Select </w:t>
      </w:r>
      <w:r>
        <w:rPr>
          <w:b/>
          <w:bCs/>
        </w:rPr>
        <w:t xml:space="preserve">Next ›</w:t>
      </w:r>
      <w:r>
        <w:t xml:space="preserve">.</w:t>
      </w:r>
    </w:p>
    <w:p>
      <w:pPr>
        <w:pStyle w:val="Heading2"/>
      </w:pPr>
      <w:r>
        <w:t xml:space="preserve">6.2 Step 2 — Brand and requirements (the brief)</w:t>
      </w:r>
    </w:p>
    <w:p>
      <w:pPr>
        <w:spacing w:after="120"/>
      </w:pPr>
      <w:r>
        <w:t xml:space="preserve">Fill in the brief sections. You need at least </w:t>
      </w:r>
      <w:r>
        <w:rPr>
          <w:b/>
          <w:bCs/>
        </w:rPr>
        <w:t xml:space="preserve">80%</w:t>
      </w:r>
      <w:r>
        <w:t xml:space="preserve"> of the must-have sections to continue; the screen tells you exactly which ones are missing.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rPr>
          <w:tblHeader/>
        </w:trPr>
        <w:tc>
          <w:tcPr>
            <w:tcW w:type="dxa" w:w="3159"/>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Must-have section</w:t>
            </w:r>
          </w:p>
        </w:tc>
        <w:tc>
          <w:tcPr>
            <w:tcW w:type="dxa" w:w="5867"/>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Examples</w:t>
            </w:r>
          </w:p>
        </w:tc>
      </w:tr>
      <w:tr>
        <w:tc>
          <w:tcPr>
            <w:tcW w:type="dxa" w:w="3159"/>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Brand &amp; concept</w:t>
            </w:r>
          </w:p>
        </w:tc>
        <w:tc>
          <w:tcPr>
            <w:tcW w:type="dxa" w:w="5867"/>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Affordable premium milk tea</w:t>
            </w:r>
          </w:p>
        </w:tc>
      </w:tr>
      <w:tr>
        <w:tc>
          <w:tcPr>
            <w:tcW w:type="dxa" w:w="3159"/>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Target customer</w:t>
            </w:r>
          </w:p>
        </w:tc>
        <w:tc>
          <w:tcPr>
            <w:tcW w:type="dxa" w:w="5867"/>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Office workers and students, 18–35</w:t>
            </w:r>
          </w:p>
        </w:tc>
      </w:tr>
      <w:tr>
        <w:tc>
          <w:tcPr>
            <w:tcW w:type="dxa" w:w="3159"/>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Format &amp; footprint</w:t>
            </w:r>
          </w:p>
        </w:tc>
        <w:tc>
          <w:tcPr>
            <w:tcW w:type="dxa" w:w="5867"/>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Inline unit, 30–50 sqm</w:t>
            </w:r>
          </w:p>
        </w:tc>
      </w:tr>
      <w:tr>
        <w:tc>
          <w:tcPr>
            <w:tcW w:type="dxa" w:w="3159"/>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Unit economics</w:t>
            </w:r>
          </w:p>
        </w:tc>
        <w:tc>
          <w:tcPr>
            <w:tcW w:type="dxa" w:w="5867"/>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Average ticket ₱145</w:t>
            </w:r>
          </w:p>
        </w:tc>
      </w:tr>
      <w:tr>
        <w:tc>
          <w:tcPr>
            <w:tcW w:type="dxa" w:w="3159"/>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Expansion goals</w:t>
            </w:r>
          </w:p>
        </w:tc>
        <w:tc>
          <w:tcPr>
            <w:tcW w:type="dxa" w:w="5867"/>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3 new branches in 12 months</w:t>
            </w:r>
          </w:p>
        </w:tc>
      </w:tr>
      <w:tr>
        <w:tc>
          <w:tcPr>
            <w:tcW w:type="dxa" w:w="3159"/>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Site preferences</w:t>
            </w:r>
          </w:p>
        </w:tc>
        <w:tc>
          <w:tcPr>
            <w:tcW w:type="dxa" w:w="5867"/>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High foot traffic, near offices or schools</w:t>
            </w:r>
          </w:p>
        </w:tc>
      </w:tr>
      <w:tr>
        <w:tc>
          <w:tcPr>
            <w:tcW w:type="dxa" w:w="3159"/>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Existing outlets</w:t>
            </w:r>
          </w:p>
        </w:tc>
        <w:tc>
          <w:tcPr>
            <w:tcW w:type="dxa" w:w="5867"/>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Added in Step 3</w:t>
            </w:r>
          </w:p>
        </w:tc>
      </w:tr>
      <w:tr>
        <w:tc>
          <w:tcPr>
            <w:tcW w:type="dxa" w:w="3159"/>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Governance &amp; consent</w:t>
            </w:r>
          </w:p>
        </w:tc>
        <w:tc>
          <w:tcPr>
            <w:tcW w:type="dxa" w:w="5867"/>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Who approves; consent to use the data</w:t>
            </w:r>
          </w:p>
        </w:tc>
      </w:tr>
    </w:tbl>
    <w:p>
      <w:pPr>
        <w:spacing w:after="120"/>
      </w:pPr>
    </w:p>
    <w:p>
      <w:pPr>
        <w:spacing w:after="120"/>
      </w:pPr>
      <w:r>
        <w:t xml:space="preserve">Some verticals show extra fields (for example land size for fuel stations, mall tier, number of chairs or machines). Each dropdown has </w:t>
      </w:r>
      <w:r>
        <w:rPr>
          <w:b/>
          <w:bCs/>
        </w:rPr>
        <w:t xml:space="preserve">Other / enter manually</w:t>
      </w:r>
      <w:r>
        <w:t xml:space="preserve"> for exact values.</w:t>
      </w:r>
    </w:p>
    <w:p>
      <w:pPr>
        <w:pStyle w:val="Heading2"/>
      </w:pPr>
      <w:r>
        <w:t xml:space="preserve">6.3 Step 3 — Existing outlets</w:t>
      </w:r>
    </w:p>
    <w:p>
      <w:pPr>
        <w:pStyle w:val="ListParagraph"/>
        <w:numPr>
          <w:ilvl w:val="0"/>
          <w:numId w:val="6"/>
        </w:numPr>
        <w:spacing w:after="60"/>
      </w:pPr>
      <w:r>
        <w:t xml:space="preserve">Add each existing branch: name, format, an address label and (optionally) monthly sales.</w:t>
      </w:r>
    </w:p>
    <w:p>
      <w:pPr>
        <w:pStyle w:val="ListParagraph"/>
        <w:numPr>
          <w:ilvl w:val="0"/>
          <w:numId w:val="6"/>
        </w:numPr>
        <w:spacing w:after="60"/>
      </w:pPr>
      <w:r>
        <w:t xml:space="preserve">Select </w:t>
      </w:r>
      <w:r>
        <w:rPr>
          <w:b/>
          <w:bCs/>
        </w:rPr>
        <w:t xml:space="preserve">📍 Pin</w:t>
      </w:r>
      <w:r>
        <w:t xml:space="preserve"> and click its exact location on the map; drag the pin to fine-tune, then </w:t>
      </w:r>
      <w:r>
        <w:rPr>
          <w:b/>
          <w:bCs/>
        </w:rPr>
        <w:t xml:space="preserve">Use this location</w:t>
      </w:r>
      <w:r>
        <w:t xml:space="preserve">. A ✓ shows when it is located.</w:t>
      </w:r>
    </w:p>
    <w:p>
      <w:pPr>
        <w:pStyle w:val="ListParagraph"/>
        <w:numPr>
          <w:ilvl w:val="0"/>
          <w:numId w:val="6"/>
        </w:numPr>
        <w:spacing w:after="60"/>
      </w:pPr>
      <w:r>
        <w:t xml:space="preserve">Many branches? Select </w:t>
      </w:r>
      <w:r>
        <w:rPr>
          <w:b/>
          <w:bCs/>
        </w:rPr>
        <w:t xml:space="preserve">Upload CSV</w:t>
      </w:r>
      <w:r>
        <w:t xml:space="preserve"> with columns </w:t>
      </w:r>
      <w:r>
        <w:rPr>
          <w:rFonts w:ascii="Consolas" w:cs="Consolas" w:eastAsia="Consolas" w:hAnsi="Consolas"/>
          <w:color w:val="8E5A3B"/>
          <w:sz w:val="19"/>
          <w:szCs w:val="19"/>
        </w:rPr>
        <w:t xml:space="preserve">outlet_name, format, lat, lon, monthly_sales_php</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C335E" w:sz="24"/>
              <w:bottom w:val="none" w:color="FFFFFF" w:sz="0"/>
              <w:right w:val="none" w:color="FFFFFF" w:sz="0"/>
            </w:tcBorders>
            <w:shd w:fill="F1F4F9" w:color="auto" w:val="clear"/>
            <w:tcMar>
              <w:top w:type="dxa" w:w="120"/>
              <w:left w:type="dxa" w:w="200"/>
              <w:bottom w:type="dxa" w:w="120"/>
              <w:right w:type="dxa" w:w="200"/>
            </w:tcMar>
          </w:tcPr>
          <w:p>
            <w:pPr>
              <w:spacing w:after="80"/>
            </w:pPr>
            <w:r>
              <w:rPr>
                <w:rFonts w:ascii="Poppins" w:cs="Poppins" w:eastAsia="Poppins" w:hAnsi="Poppins"/>
                <w:b/>
                <w:bCs/>
                <w:color w:val="1C335E"/>
                <w:sz w:val="21"/>
                <w:szCs w:val="21"/>
              </w:rPr>
              <w:t xml:space="preserve">Good to know</w:t>
            </w:r>
          </w:p>
          <w:p>
            <w:pPr>
              <w:spacing w:after="60"/>
            </w:pPr>
            <w:r>
              <w:rPr>
                <w:sz w:val="20"/>
                <w:szCs w:val="20"/>
              </w:rPr>
              <w:t xml:space="preserve">Pinning your branches is what powers Territory Guard. Branches you type here are visible only to this run.</w:t>
            </w:r>
          </w:p>
        </w:tc>
      </w:tr>
    </w:tbl>
    <w:p>
      <w:pPr>
        <w:pStyle w:val="Heading2"/>
      </w:pPr>
      <w:r>
        <w:t xml:space="preserve">6.4 Step 4 — Candidate sites</w:t>
      </w:r>
    </w:p>
    <w:p>
      <w:pPr>
        <w:pStyle w:val="ListParagraph"/>
        <w:numPr>
          <w:ilvl w:val="0"/>
          <w:numId w:val="7"/>
        </w:numPr>
        <w:spacing w:after="60"/>
      </w:pPr>
      <w:r>
        <w:t xml:space="preserve">For each site enter a </w:t>
      </w:r>
      <w:r>
        <w:rPr>
          <w:b/>
          <w:bCs/>
        </w:rPr>
        <w:t xml:space="preserve">label</w:t>
      </w:r>
      <w:r>
        <w:t xml:space="preserve"> (for example “BGC High Street”), an address and the site type.</w:t>
      </w:r>
    </w:p>
    <w:p>
      <w:pPr>
        <w:pStyle w:val="ListParagraph"/>
        <w:numPr>
          <w:ilvl w:val="0"/>
          <w:numId w:val="7"/>
        </w:numPr>
        <w:spacing w:after="60"/>
      </w:pPr>
      <w:r>
        <w:t xml:space="preserve">Select </w:t>
      </w:r>
      <w:r>
        <w:rPr>
          <w:b/>
          <w:bCs/>
        </w:rPr>
        <w:t xml:space="preserve">📍 Pin</w:t>
      </w:r>
      <w:r>
        <w:t xml:space="preserve"> and place it exactly on the map. The address is only a label — the pin is what BSA analyses.</w:t>
      </w:r>
    </w:p>
    <w:p>
      <w:pPr>
        <w:pStyle w:val="ListParagraph"/>
        <w:numPr>
          <w:ilvl w:val="0"/>
          <w:numId w:val="7"/>
        </w:numPr>
        <w:spacing w:after="60"/>
      </w:pPr>
      <w:r>
        <w:t xml:space="preserve">Add up to </w:t>
      </w:r>
      <w:r>
        <w:rPr>
          <w:b/>
          <w:bCs/>
        </w:rPr>
        <w:t xml:space="preserve">five</w:t>
      </w:r>
      <w:r>
        <w:t xml:space="preserve"> sites with </w:t>
      </w:r>
      <w:r>
        <w:rPr>
          <w:b/>
          <w:bCs/>
        </w:rPr>
        <w:t xml:space="preserve">+ Add another site</w:t>
      </w:r>
      <w:r>
        <w:t xml:space="preserve">.</w:t>
      </w:r>
    </w:p>
    <w:p>
      <w:pPr>
        <w:pStyle w:val="ListParagraph"/>
        <w:numPr>
          <w:ilvl w:val="0"/>
          <w:numId w:val="7"/>
        </w:numPr>
        <w:spacing w:after="60"/>
      </w:pPr>
      <w:r>
        <w:t xml:space="preserve">Check the </w:t>
      </w:r>
      <w:r>
        <w:rPr>
          <w:b/>
          <w:bCs/>
        </w:rPr>
        <w:t xml:space="preserve">Before you submit</w:t>
      </w:r>
      <w:r>
        <w:t xml:space="preserve"> list on the right: every item must show ✓ (brand identified, required sections filled, each site pinned).</w:t>
      </w:r>
    </w:p>
    <w:p>
      <w:pPr>
        <w:pStyle w:val="ListParagraph"/>
        <w:numPr>
          <w:ilvl w:val="0"/>
          <w:numId w:val="7"/>
        </w:numPr>
        <w:spacing w:after="60"/>
      </w:pPr>
      <w:r>
        <w:t xml:space="preserve">Select </w:t>
      </w:r>
      <w:r>
        <w:rPr>
          <w:b/>
          <w:bCs/>
        </w:rPr>
        <w:t xml:space="preserve">Submit &amp; run</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E7A52" w:sz="24"/>
              <w:bottom w:val="none" w:color="FFFFFF" w:sz="0"/>
              <w:right w:val="none" w:color="FFFFFF" w:sz="0"/>
            </w:tcBorders>
            <w:shd w:fill="EEF6F1" w:color="auto" w:val="clear"/>
            <w:tcMar>
              <w:top w:type="dxa" w:w="120"/>
              <w:left w:type="dxa" w:w="200"/>
              <w:bottom w:type="dxa" w:w="120"/>
              <w:right w:type="dxa" w:w="200"/>
            </w:tcMar>
          </w:tcPr>
          <w:p>
            <w:pPr>
              <w:spacing w:after="80"/>
            </w:pPr>
            <w:r>
              <w:rPr>
                <w:rFonts w:ascii="Poppins" w:cs="Poppins" w:eastAsia="Poppins" w:hAnsi="Poppins"/>
                <w:b/>
                <w:bCs/>
                <w:color w:val="1E7A52"/>
                <w:sz w:val="21"/>
                <w:szCs w:val="21"/>
              </w:rPr>
              <w:t xml:space="preserve">Tip</w:t>
            </w:r>
          </w:p>
          <w:p>
            <w:pPr>
              <w:spacing w:after="60"/>
            </w:pPr>
            <w:r>
              <w:rPr>
                <w:sz w:val="20"/>
                <w:szCs w:val="20"/>
              </w:rPr>
              <w:t xml:space="preserve">Training a new colleague? Use </w:t>
            </w:r>
            <w:r>
              <w:rPr>
                <w:b/>
                <w:bCs/>
                <w:sz w:val="20"/>
                <w:szCs w:val="20"/>
              </w:rPr>
              <w:t xml:space="preserve">⚡ Demo → Load a scenario</w:t>
            </w:r>
            <w:r>
              <w:rPr>
                <w:sz w:val="20"/>
                <w:szCs w:val="20"/>
              </w:rPr>
              <w:t xml:space="preserve"> to fill the whole intake with a realistic example.</w:t>
            </w:r>
          </w:p>
        </w:tc>
      </w:tr>
    </w:tbl>
    <w:p>
      <w:pPr>
        <w:pStyle w:val="Heading1"/>
        <w:pageBreakBefore/>
      </w:pPr>
      <w:r>
        <w:t xml:space="preserve">7. The analysis and the Site Dashboard</w:t>
      </w:r>
    </w:p>
    <w:p>
      <w:pPr>
        <w:pStyle w:val="Heading2"/>
      </w:pPr>
      <w:r>
        <w:t xml:space="preserve">7.1 While the analysis runs</w:t>
      </w:r>
    </w:p>
    <w:p>
      <w:pPr>
        <w:spacing w:after="120"/>
      </w:pPr>
      <w:r>
        <w:t xml:space="preserve">After you submit, an animation plays while BSA analyses every site (about 1–2 minutes for five sites) and then opens the run on the Site Dashboard. If you close the page, the run continues to be saved; open it later from the Site Dashboard and select </w:t>
      </w:r>
      <w:r>
        <w:rPr>
          <w:b/>
          <w:bCs/>
        </w:rPr>
        <w:t xml:space="preserve">↻ Continue analysis</w:t>
      </w:r>
      <w:r>
        <w:t xml:space="preserve"> if it shows “Analysing…”.</w:t>
      </w:r>
    </w:p>
    <w:p>
      <w:pPr>
        <w:pStyle w:val="Heading2"/>
      </w:pPr>
      <w:r>
        <w:t xml:space="preserve">7.2 All runs</w:t>
      </w:r>
    </w:p>
    <w:p>
      <w:pPr>
        <w:spacing w:after="120"/>
      </w:pPr>
      <w:r>
        <w:rPr>
          <w:b/>
          <w:bCs/>
        </w:rPr>
        <w:t xml:space="preserve">Site Dashboard</w:t>
      </w:r>
      <w:r>
        <w:t xml:space="preserve"> lists your runs: name, brand, number of sites, results (✓ Proceed / ▲ Caution / ✕ No-Go counts) and date. Search by run, brand or city, or filter by brand. Select a run to open it.</w:t>
      </w:r>
    </w:p>
    <w:p>
      <w:pPr>
        <w:pStyle w:val="Heading2"/>
      </w:pPr>
      <w:r>
        <w:t xml:space="preserve">7.3 A run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Part of the screen</w:t>
            </w:r>
          </w:p>
        </w:tc>
        <w:tc>
          <w:tcPr>
            <w:tcW w:type="dxa" w:w="6318"/>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What it tells you</w:t>
            </w:r>
          </w:p>
        </w:tc>
      </w:tr>
      <w:tr>
        <w:tc>
          <w:tcPr>
            <w:tcW w:type="dxa" w:w="2708"/>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Header</w:t>
            </w:r>
          </w:p>
        </w:tc>
        <w:tc>
          <w:tcPr>
            <w:tcW w:type="dxa" w:w="6318"/>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Brand, vertical, run name (select to rename), version; buttons: </w:t>
            </w:r>
            <w:r>
              <w:rPr>
                <w:b/>
                <w:bCs/>
                <w:sz w:val="19"/>
                <w:szCs w:val="19"/>
              </w:rPr>
              <w:t xml:space="preserve">✎ Edit &amp; rerun</w:t>
            </w:r>
            <w:r>
              <w:rPr>
                <w:sz w:val="19"/>
                <w:szCs w:val="19"/>
              </w:rPr>
              <w:t xml:space="preserve">, </w:t>
            </w:r>
            <w:r>
              <w:rPr>
                <w:b/>
                <w:bCs/>
                <w:sz w:val="19"/>
                <w:szCs w:val="19"/>
              </w:rPr>
              <w:t xml:space="preserve">↻ Re-run analysis</w:t>
            </w:r>
            <w:r>
              <w:rPr>
                <w:sz w:val="19"/>
                <w:szCs w:val="19"/>
              </w:rPr>
              <w:t xml:space="preserve">, </w:t>
            </w:r>
            <w:r>
              <w:rPr>
                <w:b/>
                <w:bCs/>
                <w:sz w:val="19"/>
                <w:szCs w:val="19"/>
              </w:rPr>
              <w:t xml:space="preserve">Run report (all sites)</w:t>
            </w:r>
            <w:r>
              <w:rPr>
                <w:sz w:val="19"/>
                <w:szCs w:val="19"/>
              </w:rPr>
              <w:t xml:space="preserve">.</w:t>
            </w:r>
          </w:p>
        </w:tc>
      </w:tr>
      <w:tr>
        <w:tc>
          <w:tcPr>
            <w:tcW w:type="dxa" w:w="2708"/>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Verdict strip</w:t>
            </w:r>
          </w:p>
        </w:tc>
        <w:tc>
          <w:tcPr>
            <w:tcW w:type="dxa" w:w="6318"/>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The top site and its score, plus how many sites are Proceed, Proceed with caution and No-Go — the 5-second read.</w:t>
            </w:r>
          </w:p>
        </w:tc>
      </w:tr>
      <w:tr>
        <w:tc>
          <w:tcPr>
            <w:tcW w:type="dxa" w:w="2708"/>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Ranked site shortlist</w:t>
            </w:r>
          </w:p>
        </w:tc>
        <w:tc>
          <w:tcPr>
            <w:tcW w:type="dxa" w:w="6318"/>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Every site ranked by composite score (0–100) with its call. Select a site to open its Final Report.</w:t>
            </w:r>
          </w:p>
        </w:tc>
      </w:tr>
      <w:tr>
        <w:tc>
          <w:tcPr>
            <w:tcW w:type="dxa" w:w="2708"/>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Truth Layer quality</w:t>
            </w:r>
          </w:p>
        </w:tc>
        <w:tc>
          <w:tcPr>
            <w:tcW w:type="dxa" w:w="6318"/>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How much of the evidence is Verified, Assumed and Projected, and the run’s confidence.</w:t>
            </w:r>
          </w:p>
        </w:tc>
      </w:tr>
      <w:tr>
        <w:tc>
          <w:tcPr>
            <w:tcW w:type="dxa" w:w="2708"/>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Territory conflicts / Rent above median</w:t>
            </w:r>
          </w:p>
        </w:tc>
        <w:tc>
          <w:tcPr>
            <w:tcW w:type="dxa" w:w="6318"/>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Counts across the run.</w:t>
            </w:r>
          </w:p>
        </w:tc>
      </w:tr>
      <w:tr>
        <w:tc>
          <w:tcPr>
            <w:tcW w:type="dxa" w:w="2708"/>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Version history</w:t>
            </w:r>
          </w:p>
        </w:tc>
        <w:tc>
          <w:tcPr>
            <w:tcW w:type="dxa" w:w="6318"/>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Earlier versions of this intake (after Edit &amp; rerun).</w:t>
            </w:r>
          </w:p>
        </w:tc>
      </w:tr>
      <w:tr>
        <w:tc>
          <w:tcPr>
            <w:tcW w:type="dxa" w:w="2708"/>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Alerts</w:t>
            </w:r>
          </w:p>
        </w:tc>
        <w:tc>
          <w:tcPr>
            <w:tcW w:type="dxa" w:w="6318"/>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Signals from the modules, e.g. a site redistributing existing sales or a module that could not complete.</w:t>
            </w:r>
          </w:p>
        </w:tc>
      </w:tr>
    </w:tbl>
    <w:p>
      <w:pPr>
        <w:spacing w:after="120"/>
      </w:pPr>
    </w:p>
    <w:p>
      <w:pPr>
        <w:pStyle w:val="ListParagraph"/>
        <w:numPr>
          <w:ilvl w:val="0"/>
          <w:numId w:val="2"/>
        </w:numPr>
        <w:spacing w:after="60"/>
      </w:pPr>
      <w:r>
        <w:rPr>
          <w:b/>
          <w:bCs/>
        </w:rPr>
        <w:t xml:space="preserve">✎ Edit &amp; rerun</w:t>
      </w:r>
      <w:r>
        <w:t xml:space="preserve"> loads your inputs so you can change them; submitting creates a new version and keeps the old one.</w:t>
      </w:r>
    </w:p>
    <w:p>
      <w:pPr>
        <w:pStyle w:val="ListParagraph"/>
        <w:numPr>
          <w:ilvl w:val="0"/>
          <w:numId w:val="2"/>
        </w:numPr>
        <w:spacing w:after="60"/>
      </w:pPr>
      <w:r>
        <w:rPr>
          <w:b/>
          <w:bCs/>
        </w:rPr>
        <w:t xml:space="preserve">↻ Re-run analysis</w:t>
      </w:r>
      <w:r>
        <w:t xml:space="preserve"> recalculates every site with the latest data (use it after new data is loaded).</w:t>
      </w:r>
    </w:p>
    <w:p>
      <w:pPr>
        <w:pStyle w:val="Heading1"/>
        <w:pageBreakBefore/>
      </w:pPr>
      <w:r>
        <w:t xml:space="preserve">8. The site page</w:t>
      </w:r>
    </w:p>
    <w:p>
      <w:pPr>
        <w:spacing w:after="120"/>
      </w:pPr>
      <w:r>
        <w:t xml:space="preserve">The site page shows one candidate site in detail. It opens on the </w:t>
      </w:r>
      <w:r>
        <w:rPr>
          <w:b/>
          <w:bCs/>
        </w:rPr>
        <w:t xml:space="preserve">Final Report</w:t>
      </w:r>
      <w:r>
        <w:t xml:space="preserve">; the other tabs hold each analysis. The </w:t>
      </w:r>
      <w:r>
        <w:rPr>
          <w:b/>
          <w:bCs/>
        </w:rPr>
        <w:t xml:space="preserve">Truth Layer</w:t>
      </w:r>
      <w:r>
        <w:t xml:space="preserve"> legend sits next to the tabs. Use the arrow keys to move between tabs with a keyboard.</w:t>
      </w:r>
    </w:p>
    <w:p>
      <w:pPr>
        <w:pStyle w:val="Heading2"/>
      </w:pPr>
      <w:r>
        <w:t xml:space="preserve">8.1 Final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tblHeader/>
        </w:trPr>
        <w:tc>
          <w:tcPr>
            <w:tcW w:type="dxa" w:w="2257"/>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Section</w:t>
            </w:r>
          </w:p>
        </w:tc>
        <w:tc>
          <w:tcPr>
            <w:tcW w:type="dxa" w:w="6769"/>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What it shows</w:t>
            </w:r>
          </w:p>
        </w:tc>
      </w:tr>
      <w:tr>
        <w:tc>
          <w:tcPr>
            <w:tcW w:type="dxa" w:w="2257"/>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Recommendation</w:t>
            </w:r>
          </w:p>
        </w:tc>
        <w:tc>
          <w:tcPr>
            <w:tcW w:type="dxa" w:w="6769"/>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The call (Proceed / Proceed with caution / No-Go), composite score, rank in the run, a one-line reason, confidence, how many modules ran, when it was analysed, and where the figures come from.</w:t>
            </w:r>
          </w:p>
        </w:tc>
      </w:tr>
      <w:tr>
        <w:tc>
          <w:tcPr>
            <w:tcW w:type="dxa" w:w="2257"/>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What drove this call</w:t>
            </w:r>
          </w:p>
        </w:tc>
        <w:tc>
          <w:tcPr>
            <w:tcW w:type="dxa" w:w="6769"/>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Each finding with its status (icon + word), the detail, a headline figure with its Truth Layer, and a link to the tab it came from. Lease and White-Space findings show as </w:t>
            </w:r>
            <w:r>
              <w:rPr>
                <w:b/>
                <w:bCs/>
                <w:sz w:val="19"/>
                <w:szCs w:val="19"/>
              </w:rPr>
              <w:t xml:space="preserve">Context</w:t>
            </w:r>
            <w:r>
              <w:rPr>
                <w:sz w:val="19"/>
                <w:szCs w:val="19"/>
              </w:rPr>
              <w:t xml:space="preserve"> — facts to explain, not votes.</w:t>
            </w:r>
          </w:p>
        </w:tc>
      </w:tr>
      <w:tr>
        <w:tc>
          <w:tcPr>
            <w:tcW w:type="dxa" w:w="2257"/>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Module summaries</w:t>
            </w:r>
          </w:p>
        </w:tc>
        <w:tc>
          <w:tcPr>
            <w:tcW w:type="dxa" w:w="6769"/>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The key figures from each of the four tabs, each with its Truth Layer, and an </w:t>
            </w:r>
            <w:r>
              <w:rPr>
                <w:b/>
                <w:bCs/>
                <w:sz w:val="19"/>
                <w:szCs w:val="19"/>
              </w:rPr>
              <w:t xml:space="preserve">Open … ›</w:t>
            </w:r>
            <w:r>
              <w:rPr>
                <w:sz w:val="19"/>
                <w:szCs w:val="19"/>
              </w:rPr>
              <w:t xml:space="preserve"> link.</w:t>
            </w:r>
          </w:p>
        </w:tc>
      </w:tr>
    </w:tbl>
    <w:p>
      <w:pPr>
        <w:spacing w:after="120"/>
      </w:pPr>
    </w:p>
    <w:p>
      <w:pPr>
        <w:spacing w:after="120"/>
      </w:pPr>
      <w:r>
        <w:t xml:space="preserve">Two buttons sit at the top of the page: </w:t>
      </w:r>
      <w:r>
        <w:rPr>
          <w:b/>
          <w:bCs/>
        </w:rPr>
        <w:t xml:space="preserve">↻ Re-run analysis</w:t>
      </w:r>
      <w:r>
        <w:t xml:space="preserve"> and </w:t>
      </w:r>
      <w:r>
        <w:rPr>
          <w:b/>
          <w:bCs/>
        </w:rPr>
        <w:t xml:space="preserve">Export site PDF</w:t>
      </w:r>
      <w:r>
        <w:t xml:space="preserve">.</w:t>
      </w:r>
    </w:p>
    <w:p>
      <w:pPr>
        <w:pStyle w:val="Heading2"/>
      </w:pPr>
      <w:r>
        <w:t xml:space="preserve">8.2 Territory Guard</w:t>
      </w:r>
    </w:p>
    <w:p>
      <w:pPr>
        <w:pStyle w:val="ListParagraph"/>
        <w:numPr>
          <w:ilvl w:val="0"/>
          <w:numId w:val="2"/>
        </w:numPr>
        <w:spacing w:after="60"/>
      </w:pPr>
      <w:r>
        <w:t xml:space="preserve">The map shows this site and its catchment circle, your branches, and nearby businesses: </w:t>
      </w:r>
      <w:r>
        <w:rPr>
          <w:b/>
          <w:bCs/>
        </w:rPr>
        <w:t xml:space="preserve">direct</w:t>
      </w:r>
      <w:r>
        <w:t xml:space="preserve"> competitors, </w:t>
      </w:r>
      <w:r>
        <w:rPr>
          <w:b/>
          <w:bCs/>
        </w:rPr>
        <w:t xml:space="preserve">adjacent</w:t>
      </w:r>
      <w:r>
        <w:t xml:space="preserve"> formats and </w:t>
      </w:r>
      <w:r>
        <w:rPr>
          <w:b/>
          <w:bCs/>
        </w:rPr>
        <w:t xml:space="preserve">other</w:t>
      </w:r>
      <w:r>
        <w:t xml:space="preserve"> businesses (context only). The legend explains each marker.</w:t>
      </w:r>
    </w:p>
    <w:p>
      <w:pPr>
        <w:pStyle w:val="ListParagraph"/>
        <w:numPr>
          <w:ilvl w:val="0"/>
          <w:numId w:val="2"/>
        </w:numPr>
        <w:spacing w:after="60"/>
      </w:pPr>
      <w:r>
        <w:t xml:space="preserve">The </w:t>
      </w:r>
      <w:r>
        <w:rPr>
          <w:b/>
          <w:bCs/>
        </w:rPr>
        <w:t xml:space="preserve">Territory call</w:t>
      </w:r>
      <w:r>
        <w:t xml:space="preserve"> says whether the site </w:t>
      </w:r>
      <w:r>
        <w:rPr>
          <w:b/>
          <w:bCs/>
        </w:rPr>
        <w:t xml:space="preserve">adds sales</w:t>
      </w:r>
      <w:r>
        <w:t xml:space="preserve">, is </w:t>
      </w:r>
      <w:r>
        <w:rPr>
          <w:b/>
          <w:bCs/>
        </w:rPr>
        <w:t xml:space="preserve">mixed</w:t>
      </w:r>
      <w:r>
        <w:t xml:space="preserve">, or </w:t>
      </w:r>
      <w:r>
        <w:rPr>
          <w:b/>
          <w:bCs/>
        </w:rPr>
        <w:t xml:space="preserve">redistributes existing sales</w:t>
      </w:r>
      <w:r>
        <w:t xml:space="preserve"> from your branches.</w:t>
      </w:r>
    </w:p>
    <w:p>
      <w:pPr>
        <w:pStyle w:val="ListParagraph"/>
        <w:numPr>
          <w:ilvl w:val="0"/>
          <w:numId w:val="2"/>
        </w:numPr>
        <w:spacing w:after="60"/>
      </w:pPr>
      <w:r>
        <w:t xml:space="preserve">Figures: own-branch overlap, competitive saturation, estimated monthly cannibalisation, who it competes with, and which of your outlets are affected.</w:t>
      </w:r>
    </w:p>
    <w:p>
      <w:pPr>
        <w:pStyle w:val="Heading2"/>
      </w:pPr>
      <w:r>
        <w:t xml:space="preserve">8.3 Lease Benchmark</w:t>
      </w:r>
    </w:p>
    <w:p>
      <w:pPr>
        <w:pStyle w:val="ListParagraph"/>
        <w:numPr>
          <w:ilvl w:val="0"/>
          <w:numId w:val="8"/>
        </w:numPr>
        <w:spacing w:after="60"/>
      </w:pPr>
      <w:r>
        <w:t xml:space="preserve">Read the </w:t>
      </w:r>
      <w:r>
        <w:rPr>
          <w:b/>
          <w:bCs/>
        </w:rPr>
        <w:t xml:space="preserve">Position vs corridor</w:t>
      </w:r>
      <w:r>
        <w:t xml:space="preserve"> header: the corridor used, the comparable leases and the rent position.</w:t>
      </w:r>
    </w:p>
    <w:p>
      <w:pPr>
        <w:pStyle w:val="ListParagraph"/>
        <w:numPr>
          <w:ilvl w:val="0"/>
          <w:numId w:val="8"/>
        </w:numPr>
        <w:spacing w:after="60"/>
      </w:pPr>
      <w:r>
        <w:t xml:space="preserve">Type the landlord’s </w:t>
      </w:r>
      <w:r>
        <w:rPr>
          <w:b/>
          <w:bCs/>
        </w:rPr>
        <w:t xml:space="preserve">asking rent</w:t>
      </w:r>
      <w:r>
        <w:t xml:space="preserve"> (₱ per sqm per month). BSA shows immediately where it sits among the comparable leases (percentile, above/around/below the median).</w:t>
      </w:r>
    </w:p>
    <w:p>
      <w:pPr>
        <w:pStyle w:val="ListParagraph"/>
        <w:numPr>
          <w:ilvl w:val="0"/>
          <w:numId w:val="8"/>
        </w:numPr>
        <w:spacing w:after="60"/>
      </w:pPr>
      <w:r>
        <w:t xml:space="preserve">Select </w:t>
      </w:r>
      <w:r>
        <w:rPr>
          <w:b/>
          <w:bCs/>
        </w:rPr>
        <w:t xml:space="preserve">Save &amp; use in score</w:t>
      </w:r>
      <w:r>
        <w:t xml:space="preserve"> to include the rent in the site’s score. The Final Report updates.</w:t>
      </w:r>
    </w:p>
    <w:p>
      <w:pPr>
        <w:pStyle w:val="ListParagraph"/>
        <w:numPr>
          <w:ilvl w:val="0"/>
          <w:numId w:val="8"/>
        </w:numPr>
        <w:spacing w:after="60"/>
      </w:pPr>
      <w:r>
        <w:t xml:space="preserve">If the corridor looks wrong (for example a proxy corridor), choose the correct one from the corridor picker where offered.</w:t>
      </w:r>
    </w:p>
    <w:p>
      <w:pPr>
        <w:pStyle w:val="ListParagraph"/>
        <w:numPr>
          <w:ilvl w:val="0"/>
          <w:numId w:val="2"/>
        </w:numPr>
        <w:spacing w:after="60"/>
      </w:pPr>
      <w:r>
        <w:t xml:space="preserve">The chart shows the spread of comparable rents and the median; your rent appears as a highlighted bar.</w:t>
      </w:r>
    </w:p>
    <w:p>
      <w:pPr>
        <w:pStyle w:val="ListParagraph"/>
        <w:numPr>
          <w:ilvl w:val="0"/>
          <w:numId w:val="2"/>
        </w:numPr>
        <w:spacing w:after="60"/>
      </w:pPr>
      <w:r>
        <w:t xml:space="preserve">The </w:t>
      </w:r>
      <w:r>
        <w:rPr>
          <w:b/>
          <w:bCs/>
        </w:rPr>
        <w:t xml:space="preserve">BIR zonal value</w:t>
      </w:r>
      <w:r>
        <w:t xml:space="preserve"> card shows the tax-reference floor for the area — not a market price.</w:t>
      </w:r>
    </w:p>
    <w:p>
      <w:pPr>
        <w:pStyle w:val="ListParagraph"/>
        <w:numPr>
          <w:ilvl w:val="0"/>
          <w:numId w:val="2"/>
        </w:numPr>
        <w:spacing w:after="60"/>
      </w:pPr>
      <w:r>
        <w:t xml:space="preserve">“</w:t>
      </w:r>
      <w:r>
        <w:rPr>
          <w:b/>
          <w:bCs/>
        </w:rPr>
        <w:t xml:space="preserve">— Not enough data yet</w:t>
      </w:r>
      <w:r>
        <w:t xml:space="preserve">” means fewer than 5 comparable leases; BSA will not position the rent.</w:t>
      </w:r>
    </w:p>
    <w:p>
      <w:pPr>
        <w:pStyle w:val="Heading2"/>
      </w:pPr>
      <w:r>
        <w:t xml:space="preserve">8.4 Daypart Demand</w:t>
      </w:r>
    </w:p>
    <w:p>
      <w:pPr>
        <w:pStyle w:val="ListParagraph"/>
        <w:numPr>
          <w:ilvl w:val="0"/>
          <w:numId w:val="2"/>
        </w:numPr>
        <w:spacing w:after="60"/>
      </w:pPr>
      <w:r>
        <w:t xml:space="preserve">The curve shows estimated demand across the day and your format’s target window.</w:t>
      </w:r>
    </w:p>
    <w:p>
      <w:pPr>
        <w:pStyle w:val="ListParagraph"/>
        <w:numPr>
          <w:ilvl w:val="0"/>
          <w:numId w:val="2"/>
        </w:numPr>
        <w:spacing w:after="60"/>
      </w:pPr>
      <w:r>
        <w:rPr>
          <w:b/>
          <w:bCs/>
        </w:rPr>
        <w:t xml:space="preserve">Window match</w:t>
      </w:r>
      <w:r>
        <w:t xml:space="preserve"> shows how much demand falls inside that window (Strong ≥ 60%, Partial 40–59%, Weak below 40%).</w:t>
      </w:r>
    </w:p>
    <w:p>
      <w:pPr>
        <w:pStyle w:val="ListParagraph"/>
        <w:numPr>
          <w:ilvl w:val="0"/>
          <w:numId w:val="2"/>
        </w:numPr>
        <w:spacing w:after="60"/>
      </w:pPr>
      <w:r>
        <w:rPr>
          <w:b/>
          <w:bCs/>
        </w:rPr>
        <w:t xml:space="preserve">Catchment mix</w:t>
      </w:r>
      <w:r>
        <w:t xml:space="preserve"> (daytime vs residential) and </w:t>
      </w:r>
      <w:r>
        <w:rPr>
          <w:b/>
          <w:bCs/>
        </w:rPr>
        <w:t xml:space="preserve">Peak window</w:t>
      </w:r>
      <w:r>
        <w:t xml:space="preserve"> (Manila time), plus the seasonal peak and trough.</w:t>
      </w:r>
    </w:p>
    <w:p>
      <w:pPr>
        <w:pStyle w:val="Heading2"/>
      </w:pPr>
      <w:r>
        <w:t xml:space="preserve">8.5 White-Space</w:t>
      </w:r>
    </w:p>
    <w:p>
      <w:pPr>
        <w:pStyle w:val="ListParagraph"/>
        <w:numPr>
          <w:ilvl w:val="0"/>
          <w:numId w:val="2"/>
        </w:numPr>
        <w:spacing w:after="60"/>
      </w:pPr>
      <w:r>
        <w:t xml:space="preserve">Recommended nearby areas with low cannibalisation, ranked and pinned on the map.</w:t>
      </w:r>
    </w:p>
    <w:p>
      <w:pPr>
        <w:pStyle w:val="ListParagraph"/>
        <w:numPr>
          <w:ilvl w:val="0"/>
          <w:numId w:val="2"/>
        </w:numPr>
        <w:spacing w:after="60"/>
      </w:pPr>
      <w:r>
        <w:t xml:space="preserve">Each area shows its status (Open / Workable / Contested), cannibalisation, population, same-concept businesses nearby and distance to your nearest branch.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C335E" w:sz="24"/>
              <w:bottom w:val="none" w:color="FFFFFF" w:sz="0"/>
              <w:right w:val="none" w:color="FFFFFF" w:sz="0"/>
            </w:tcBorders>
            <w:shd w:fill="F1F4F9" w:color="auto" w:val="clear"/>
            <w:tcMar>
              <w:top w:type="dxa" w:w="120"/>
              <w:left w:type="dxa" w:w="200"/>
              <w:bottom w:type="dxa" w:w="120"/>
              <w:right w:type="dxa" w:w="200"/>
            </w:tcMar>
          </w:tcPr>
          <w:p>
            <w:pPr>
              <w:spacing w:after="80"/>
            </w:pPr>
            <w:r>
              <w:rPr>
                <w:rFonts w:ascii="Poppins" w:cs="Poppins" w:eastAsia="Poppins" w:hAnsi="Poppins"/>
                <w:b/>
                <w:bCs/>
                <w:color w:val="1C335E"/>
                <w:sz w:val="21"/>
                <w:szCs w:val="21"/>
              </w:rPr>
              <w:t xml:space="preserve">Good to know</w:t>
            </w:r>
          </w:p>
          <w:p>
            <w:pPr>
              <w:spacing w:after="60"/>
            </w:pPr>
            <w:r>
              <w:rPr>
                <w:sz w:val="20"/>
                <w:szCs w:val="20"/>
              </w:rPr>
              <w:t xml:space="preserve">A “Contextual read” banner means that module is not a primary lens for this format (for example Daypart for a fuel station): the figures are real but carry less weight.</w:t>
            </w:r>
          </w:p>
        </w:tc>
      </w:tr>
    </w:tbl>
    <w:p>
      <w:pPr>
        <w:pStyle w:val="Heading1"/>
        <w:pageBreakBefore/>
      </w:pPr>
      <w:r>
        <w:t xml:space="preserve">9. Sharing results</w:t>
      </w:r>
    </w:p>
    <w:p>
      <w:pPr>
        <w:pStyle w:val="Heading2"/>
      </w:pPr>
      <w:r>
        <w:t xml:space="preserve">9.1 Site PDF (one site)</w:t>
      </w:r>
    </w:p>
    <w:p>
      <w:pPr>
        <w:pStyle w:val="ListParagraph"/>
        <w:numPr>
          <w:ilvl w:val="0"/>
          <w:numId w:val="9"/>
        </w:numPr>
        <w:spacing w:after="60"/>
      </w:pPr>
      <w:r>
        <w:t xml:space="preserve">On the site page select </w:t>
      </w:r>
      <w:r>
        <w:rPr>
          <w:b/>
          <w:bCs/>
        </w:rPr>
        <w:t xml:space="preserve">Export site PDF</w:t>
      </w:r>
      <w:r>
        <w:t xml:space="preserve">.</w:t>
      </w:r>
    </w:p>
    <w:p>
      <w:pPr>
        <w:pStyle w:val="ListParagraph"/>
        <w:numPr>
          <w:ilvl w:val="0"/>
          <w:numId w:val="9"/>
        </w:numPr>
        <w:spacing w:after="60"/>
      </w:pPr>
      <w:r>
        <w:t xml:space="preserve">The PDF downloads with the same data as the Final Report: the recommendation, what drove the call, and all four module summaries with their Truth Layer labels.</w:t>
      </w:r>
    </w:p>
    <w:p>
      <w:pPr>
        <w:pStyle w:val="Heading2"/>
      </w:pPr>
      <w:r>
        <w:t xml:space="preserve">9.2 Run report (all sites)</w:t>
      </w:r>
    </w:p>
    <w:p>
      <w:pPr>
        <w:pStyle w:val="ListParagraph"/>
        <w:numPr>
          <w:ilvl w:val="0"/>
          <w:numId w:val="10"/>
        </w:numPr>
        <w:spacing w:after="60"/>
      </w:pPr>
      <w:r>
        <w:t xml:space="preserve">From a run on the Site Dashboard select </w:t>
      </w:r>
      <w:r>
        <w:rPr>
          <w:b/>
          <w:bCs/>
        </w:rPr>
        <w:t xml:space="preserve">Run report (all sites)</w:t>
      </w:r>
      <w:r>
        <w:t xml:space="preserve">.</w:t>
      </w:r>
    </w:p>
    <w:p>
      <w:pPr>
        <w:pStyle w:val="ListParagraph"/>
        <w:numPr>
          <w:ilvl w:val="0"/>
          <w:numId w:val="10"/>
        </w:numPr>
        <w:spacing w:after="60"/>
      </w:pPr>
      <w:r>
        <w:t xml:space="preserve">Select </w:t>
      </w:r>
      <w:r>
        <w:rPr>
          <w:b/>
          <w:bCs/>
        </w:rPr>
        <w:t xml:space="preserve">View report here</w:t>
      </w:r>
      <w:r>
        <w:t xml:space="preserve"> to read the nine sections on screen.</w:t>
      </w:r>
    </w:p>
    <w:p>
      <w:pPr>
        <w:pStyle w:val="ListParagraph"/>
        <w:numPr>
          <w:ilvl w:val="0"/>
          <w:numId w:val="10"/>
        </w:numPr>
        <w:spacing w:after="60"/>
      </w:pPr>
      <w:r>
        <w:t xml:space="preserve">Select </w:t>
      </w:r>
      <w:r>
        <w:rPr>
          <w:b/>
          <w:bCs/>
        </w:rPr>
        <w:t xml:space="preserve">Download full report</w:t>
      </w:r>
      <w:r>
        <w:t xml:space="preserve">, optionally add client details for the cover (prepared for, your name, company, contact, email), then </w:t>
      </w:r>
      <w:r>
        <w:rPr>
          <w:b/>
          <w:bCs/>
        </w:rPr>
        <w:t xml:space="preserve">Open report → print to PDF</w:t>
      </w:r>
      <w:r>
        <w:t xml:space="preserve">.</w:t>
      </w:r>
    </w:p>
    <w:p>
      <w:pPr>
        <w:pStyle w:val="ListParagraph"/>
        <w:numPr>
          <w:ilvl w:val="0"/>
          <w:numId w:val="10"/>
        </w:numPr>
        <w:spacing w:after="60"/>
      </w:pPr>
      <w:r>
        <w:t xml:space="preserve">In the report that opens, select </w:t>
      </w:r>
      <w:r>
        <w:rPr>
          <w:b/>
          <w:bCs/>
        </w:rPr>
        <w:t xml:space="preserve">Download / Print PDF</w:t>
      </w:r>
      <w:r>
        <w:t xml:space="preserve"> (or press Ctrl/Cmd + P) and choose </w:t>
      </w:r>
      <w:r>
        <w:rPr>
          <w:b/>
          <w:bCs/>
        </w:rPr>
        <w:t xml:space="preserve">Save as PDF</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C335E" w:sz="24"/>
              <w:bottom w:val="none" w:color="FFFFFF" w:sz="0"/>
              <w:right w:val="none" w:color="FFFFFF" w:sz="0"/>
            </w:tcBorders>
            <w:shd w:fill="F1F4F9" w:color="auto" w:val="clear"/>
            <w:tcMar>
              <w:top w:type="dxa" w:w="120"/>
              <w:left w:type="dxa" w:w="200"/>
              <w:bottom w:type="dxa" w:w="120"/>
              <w:right w:type="dxa" w:w="200"/>
            </w:tcMar>
          </w:tcPr>
          <w:p>
            <w:pPr>
              <w:spacing w:after="80"/>
            </w:pPr>
            <w:r>
              <w:rPr>
                <w:rFonts w:ascii="Poppins" w:cs="Poppins" w:eastAsia="Poppins" w:hAnsi="Poppins"/>
                <w:b/>
                <w:bCs/>
                <w:color w:val="1C335E"/>
                <w:sz w:val="21"/>
                <w:szCs w:val="21"/>
              </w:rPr>
              <w:t xml:space="preserve">Good to know</w:t>
            </w:r>
          </w:p>
          <w:p>
            <w:pPr>
              <w:spacing w:after="60"/>
            </w:pPr>
            <w:r>
              <w:rPr>
                <w:sz w:val="20"/>
                <w:szCs w:val="20"/>
              </w:rPr>
              <w:t xml:space="preserve">Client details are sent securely and never appear in the web address. Every report carries the RA 9646 notice.</w:t>
            </w:r>
          </w:p>
        </w:tc>
      </w:tr>
    </w:tbl>
    <w:p>
      <w:pPr>
        <w:pStyle w:val="Heading1"/>
        <w:pageBreakBefore/>
      </w:pPr>
      <w:r>
        <w:t xml:space="preserve">10. Settings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tblHeader/>
        </w:trPr>
        <w:tc>
          <w:tcPr>
            <w:tcW w:type="dxa" w:w="2257"/>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Setting</w:t>
            </w:r>
          </w:p>
        </w:tc>
        <w:tc>
          <w:tcPr>
            <w:tcW w:type="dxa" w:w="6769"/>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How</w:t>
            </w:r>
          </w:p>
        </w:tc>
      </w:tr>
      <w:tr>
        <w:tc>
          <w:tcPr>
            <w:tcW w:type="dxa" w:w="2257"/>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Change password</w:t>
            </w:r>
          </w:p>
        </w:tc>
        <w:tc>
          <w:tcPr>
            <w:tcW w:type="dxa" w:w="6769"/>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Settings → Change password: current password, new password (10+ characters), confirm → </w:t>
            </w:r>
            <w:r>
              <w:rPr>
                <w:b/>
                <w:bCs/>
                <w:sz w:val="19"/>
                <w:szCs w:val="19"/>
              </w:rPr>
              <w:t xml:space="preserve">Update password</w:t>
            </w:r>
            <w:r>
              <w:rPr>
                <w:sz w:val="19"/>
                <w:szCs w:val="19"/>
              </w:rPr>
              <w:t xml:space="preserve">. You will be signed out on other devices.</w:t>
            </w:r>
          </w:p>
        </w:tc>
      </w:tr>
      <w:tr>
        <w:tc>
          <w:tcPr>
            <w:tcW w:type="dxa" w:w="2257"/>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Appearance</w:t>
            </w:r>
          </w:p>
        </w:tc>
        <w:tc>
          <w:tcPr>
            <w:tcW w:type="dxa" w:w="6769"/>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Settings → Appearance: </w:t>
            </w:r>
            <w:r>
              <w:rPr>
                <w:b/>
                <w:bCs/>
                <w:sz w:val="19"/>
                <w:szCs w:val="19"/>
              </w:rPr>
              <w:t xml:space="preserve">Dark</w:t>
            </w:r>
            <w:r>
              <w:rPr>
                <w:sz w:val="19"/>
                <w:szCs w:val="19"/>
              </w:rPr>
              <w:t xml:space="preserve">, </w:t>
            </w:r>
            <w:r>
              <w:rPr>
                <w:b/>
                <w:bCs/>
                <w:sz w:val="19"/>
                <w:szCs w:val="19"/>
              </w:rPr>
              <w:t xml:space="preserve">Light</w:t>
            </w:r>
            <w:r>
              <w:rPr>
                <w:sz w:val="19"/>
                <w:szCs w:val="19"/>
              </w:rPr>
              <w:t xml:space="preserve"> or </w:t>
            </w:r>
            <w:r>
              <w:rPr>
                <w:b/>
                <w:bCs/>
                <w:sz w:val="19"/>
                <w:szCs w:val="19"/>
              </w:rPr>
              <w:t xml:space="preserve">Match device</w:t>
            </w:r>
            <w:r>
              <w:rPr>
                <w:sz w:val="19"/>
                <w:szCs w:val="19"/>
              </w:rPr>
              <w:t xml:space="preserve">. Saved on this browser.</w:t>
            </w:r>
          </w:p>
        </w:tc>
      </w:tr>
      <w:tr>
        <w:tc>
          <w:tcPr>
            <w:tcW w:type="dxa" w:w="2257"/>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Guided tour</w:t>
            </w:r>
          </w:p>
        </w:tc>
        <w:tc>
          <w:tcPr>
            <w:tcW w:type="dxa" w:w="6769"/>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Settings → Getting started → </w:t>
            </w:r>
            <w:r>
              <w:rPr>
                <w:b/>
                <w:bCs/>
                <w:sz w:val="19"/>
                <w:szCs w:val="19"/>
              </w:rPr>
              <w:t xml:space="preserve">Replay tour</w:t>
            </w:r>
            <w:r>
              <w:rPr>
                <w:sz w:val="19"/>
                <w:szCs w:val="19"/>
              </w:rPr>
              <w:t xml:space="preserve">.</w:t>
            </w:r>
          </w:p>
        </w:tc>
      </w:tr>
    </w:tbl>
    <w:p>
      <w:pPr>
        <w:pStyle w:val="Heading1"/>
        <w:pageBreakBefore/>
      </w:pPr>
      <w:r>
        <w:t xml:space="preserve">11. Talking to clients — tips for brokers</w:t>
      </w:r>
    </w:p>
    <w:p>
      <w:pPr>
        <w:pStyle w:val="ListParagraph"/>
        <w:numPr>
          <w:ilvl w:val="0"/>
          <w:numId w:val="2"/>
        </w:numPr>
        <w:spacing w:after="60"/>
      </w:pPr>
      <w:r>
        <w:t xml:space="preserve">Lead with the call and the top two reasons from “What drove this call”.</w:t>
      </w:r>
    </w:p>
    <w:p>
      <w:pPr>
        <w:pStyle w:val="ListParagraph"/>
        <w:numPr>
          <w:ilvl w:val="0"/>
          <w:numId w:val="2"/>
        </w:numPr>
        <w:spacing w:after="60"/>
      </w:pPr>
      <w:r>
        <w:t xml:space="preserve">Point to the Truth Layer: “This figure is Verified from PSA; this one is a model projection.”</w:t>
      </w:r>
    </w:p>
    <w:p>
      <w:pPr>
        <w:pStyle w:val="ListParagraph"/>
        <w:numPr>
          <w:ilvl w:val="0"/>
          <w:numId w:val="2"/>
        </w:numPr>
        <w:spacing w:after="60"/>
      </w:pPr>
      <w:r>
        <w:t xml:space="preserve">On rent, describe position only: “The asking rent sits above the corridor median.” Your professional advice on price is separate from BSA.</w:t>
      </w:r>
    </w:p>
    <w:p>
      <w:pPr>
        <w:pStyle w:val="ListParagraph"/>
        <w:numPr>
          <w:ilvl w:val="0"/>
          <w:numId w:val="2"/>
        </w:numPr>
        <w:spacing w:after="60"/>
      </w:pPr>
      <w:r>
        <w:t xml:space="preserve">Use Proceed with caution as a checklist for the site visit, not as a rejection.</w:t>
      </w:r>
    </w:p>
    <w:p>
      <w:pPr>
        <w:pStyle w:val="ListParagraph"/>
        <w:numPr>
          <w:ilvl w:val="0"/>
          <w:numId w:val="2"/>
        </w:numPr>
        <w:spacing w:after="60"/>
      </w:pPr>
      <w:r>
        <w:t xml:space="preserve">If confidence is Low, say so and explain what data would improve it.</w:t>
      </w:r>
    </w:p>
    <w:p>
      <w:pPr>
        <w:pStyle w:val="ListParagraph"/>
        <w:numPr>
          <w:ilvl w:val="0"/>
          <w:numId w:val="2"/>
        </w:numPr>
        <w:spacing w:after="60"/>
      </w:pPr>
      <w:r>
        <w:t xml:space="preserve">Leave the client with the site PDF or the run report.</w:t>
      </w:r>
    </w:p>
    <w:p>
      <w:pPr>
        <w:pStyle w:val="Heading1"/>
        <w:pageBreakBefore/>
      </w:pPr>
      <w:r>
        <w:t xml:space="preserve">12. Troubleshooting and FAQ</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49"/>
        <w:gridCol w:w="5777"/>
      </w:tblGrid>
      <w:tr>
        <w:trPr>
          <w:tblHeader/>
        </w:trPr>
        <w:tc>
          <w:tcPr>
            <w:tcW w:type="dxa" w:w="3249"/>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Question</w:t>
            </w:r>
          </w:p>
        </w:tc>
        <w:tc>
          <w:tcPr>
            <w:tcW w:type="dxa" w:w="5777"/>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Answer</w:t>
            </w:r>
          </w:p>
        </w:tc>
      </w:tr>
      <w:tr>
        <w:tc>
          <w:tcPr>
            <w:tcW w:type="dxa" w:w="3249"/>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I can’t select Next in the intake.</w:t>
            </w:r>
          </w:p>
        </w:tc>
        <w:tc>
          <w:tcPr>
            <w:tcW w:type="dxa" w:w="5777"/>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Step 1 needs a vertical and a brand (or an independent business + comparable brand). Step 2 needs 80% of the must-have sections — the screen lists what is missing.</w:t>
            </w:r>
          </w:p>
        </w:tc>
      </w:tr>
      <w:tr>
        <w:tc>
          <w:tcPr>
            <w:tcW w:type="dxa" w:w="3249"/>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Submit &amp; run is disabled.</w:t>
            </w:r>
          </w:p>
        </w:tc>
        <w:tc>
          <w:tcPr>
            <w:tcW w:type="dxa" w:w="5777"/>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Check the </w:t>
            </w:r>
            <w:r>
              <w:rPr>
                <w:b/>
                <w:bCs/>
                <w:sz w:val="19"/>
                <w:szCs w:val="19"/>
              </w:rPr>
              <w:t xml:space="preserve">Before you submit</w:t>
            </w:r>
            <w:r>
              <w:rPr>
                <w:sz w:val="19"/>
                <w:szCs w:val="19"/>
              </w:rPr>
              <w:t xml:space="preserve"> list: every candidate site needs a name and a pin.</w:t>
            </w:r>
          </w:p>
        </w:tc>
      </w:tr>
      <w:tr>
        <w:tc>
          <w:tcPr>
            <w:tcW w:type="dxa" w:w="3249"/>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Address search says it is off.</w:t>
            </w:r>
          </w:p>
        </w:tc>
        <w:tc>
          <w:tcPr>
            <w:tcW w:type="dxa" w:w="5777"/>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Click the map to drop the pin, then drag to fine-tune. Address search is enabled only when Google services are switched on.</w:t>
            </w:r>
          </w:p>
        </w:tc>
      </w:tr>
      <w:tr>
        <w:tc>
          <w:tcPr>
            <w:tcW w:type="dxa" w:w="3249"/>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A run says “Analysing…” for a long time.</w:t>
            </w:r>
          </w:p>
        </w:tc>
        <w:tc>
          <w:tcPr>
            <w:tcW w:type="dxa" w:w="5777"/>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Open the run and select </w:t>
            </w:r>
            <w:r>
              <w:rPr>
                <w:b/>
                <w:bCs/>
                <w:sz w:val="19"/>
                <w:szCs w:val="19"/>
              </w:rPr>
              <w:t xml:space="preserve">↻ Continue analysis</w:t>
            </w:r>
            <w:r>
              <w:rPr>
                <w:sz w:val="19"/>
                <w:szCs w:val="19"/>
              </w:rPr>
              <w:t xml:space="preserve">.</w:t>
            </w:r>
          </w:p>
        </w:tc>
      </w:tr>
      <w:tr>
        <w:tc>
          <w:tcPr>
            <w:tcW w:type="dxa" w:w="3249"/>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The run says “The last analysis did not finish”.</w:t>
            </w:r>
          </w:p>
        </w:tc>
        <w:tc>
          <w:tcPr>
            <w:tcW w:type="dxa" w:w="5777"/>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Select </w:t>
            </w:r>
            <w:r>
              <w:rPr>
                <w:b/>
                <w:bCs/>
                <w:sz w:val="19"/>
                <w:szCs w:val="19"/>
              </w:rPr>
              <w:t xml:space="preserve">↻ Re-run analysis</w:t>
            </w:r>
            <w:r>
              <w:rPr>
                <w:sz w:val="19"/>
                <w:szCs w:val="19"/>
              </w:rPr>
              <w:t xml:space="preserve">. Your inputs are safe.</w:t>
            </w:r>
          </w:p>
        </w:tc>
      </w:tr>
      <w:tr>
        <w:tc>
          <w:tcPr>
            <w:tcW w:type="dxa" w:w="3249"/>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A figure shows “—”.</w:t>
            </w:r>
          </w:p>
        </w:tc>
        <w:tc>
          <w:tcPr>
            <w:tcW w:type="dxa" w:w="5777"/>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The data is not available for that location yet; BSA does not invent numbers.</w:t>
            </w:r>
          </w:p>
        </w:tc>
      </w:tr>
      <w:tr>
        <w:tc>
          <w:tcPr>
            <w:tcW w:type="dxa" w:w="3249"/>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Why is confidence Low?</w:t>
            </w:r>
          </w:p>
        </w:tc>
        <w:tc>
          <w:tcPr>
            <w:tcW w:type="dxa" w:w="5777"/>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Much of the evidence is estimated or missing (for example no demographic data loaded for the area).</w:t>
            </w:r>
          </w:p>
        </w:tc>
      </w:tr>
      <w:tr>
        <w:tc>
          <w:tcPr>
            <w:tcW w:type="dxa" w:w="3249"/>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Lease says “Not enough data yet”.</w:t>
            </w:r>
          </w:p>
        </w:tc>
        <w:tc>
          <w:tcPr>
            <w:tcW w:type="dxa" w:w="5777"/>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There are fewer than 5 comparable leases in that corridor.</w:t>
            </w:r>
          </w:p>
        </w:tc>
      </w:tr>
      <w:tr>
        <w:tc>
          <w:tcPr>
            <w:tcW w:type="dxa" w:w="3249"/>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The page shows “Something went wrong”.</w:t>
            </w:r>
          </w:p>
        </w:tc>
        <w:tc>
          <w:tcPr>
            <w:tcW w:type="dxa" w:w="5777"/>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Select </w:t>
            </w:r>
            <w:r>
              <w:rPr>
                <w:b/>
                <w:bCs/>
                <w:sz w:val="19"/>
                <w:szCs w:val="19"/>
              </w:rPr>
              <w:t xml:space="preserve">Try again</w:t>
            </w:r>
            <w:r>
              <w:rPr>
                <w:sz w:val="19"/>
                <w:szCs w:val="19"/>
              </w:rPr>
              <w:t xml:space="preserve">. If it persists, note the reference code shown and contact Grid support.</w:t>
            </w:r>
          </w:p>
        </w:tc>
      </w:tr>
      <w:tr>
        <w:tc>
          <w:tcPr>
            <w:tcW w:type="dxa" w:w="3249"/>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Which areas are covered?</w:t>
            </w:r>
          </w:p>
        </w:tc>
        <w:tc>
          <w:tcPr>
            <w:tcW w:type="dxa" w:w="5777"/>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Metro Manila today; Cavite, Batangas and Davao are being added.</w:t>
            </w:r>
          </w:p>
        </w:tc>
      </w:tr>
    </w:tbl>
    <w:p>
      <w:pPr>
        <w:pStyle w:val="Heading1"/>
        <w:pageBreakBefore/>
      </w:pPr>
      <w:r>
        <w:t xml:space="preserve">13. Quick reference card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I want to…</w:t>
            </w:r>
          </w:p>
        </w:tc>
        <w:tc>
          <w:tcPr>
            <w:tcW w:type="dxa" w:w="4513"/>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Go to</w:t>
            </w:r>
          </w:p>
        </w:tc>
      </w:tr>
      <w:tr>
        <w:tc>
          <w:tcPr>
            <w:tcW w:type="dxa" w:w="4513"/>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Find brands within a budget</w:t>
            </w:r>
          </w:p>
        </w:tc>
        <w:tc>
          <w:tcPr>
            <w:tcW w:type="dxa" w:w="4513"/>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Franchise Screening</w:t>
            </w:r>
          </w:p>
        </w:tc>
      </w:tr>
      <w:tr>
        <w:tc>
          <w:tcPr>
            <w:tcW w:type="dxa" w:w="4513"/>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Analyse up to five sites</w:t>
            </w:r>
          </w:p>
        </w:tc>
        <w:tc>
          <w:tcPr>
            <w:tcW w:type="dxa" w:w="4513"/>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New Intake → Submit &amp; run</w:t>
            </w:r>
          </w:p>
        </w:tc>
      </w:tr>
      <w:tr>
        <w:tc>
          <w:tcPr>
            <w:tcW w:type="dxa" w:w="4513"/>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See all my runs</w:t>
            </w:r>
          </w:p>
        </w:tc>
        <w:tc>
          <w:tcPr>
            <w:tcW w:type="dxa" w:w="4513"/>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Site Dashboard</w:t>
            </w:r>
          </w:p>
        </w:tc>
      </w:tr>
      <w:tr>
        <w:tc>
          <w:tcPr>
            <w:tcW w:type="dxa" w:w="4513"/>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See one site’s call and reasons</w:t>
            </w:r>
          </w:p>
        </w:tc>
        <w:tc>
          <w:tcPr>
            <w:tcW w:type="dxa" w:w="4513"/>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Site Dashboard → run → site → Final Report</w:t>
            </w:r>
          </w:p>
        </w:tc>
      </w:tr>
      <w:tr>
        <w:tc>
          <w:tcPr>
            <w:tcW w:type="dxa" w:w="4513"/>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Check cannibalisation of my branches</w:t>
            </w:r>
          </w:p>
        </w:tc>
        <w:tc>
          <w:tcPr>
            <w:tcW w:type="dxa" w:w="4513"/>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Site page → Territory Guard</w:t>
            </w:r>
          </w:p>
        </w:tc>
      </w:tr>
      <w:tr>
        <w:tc>
          <w:tcPr>
            <w:tcW w:type="dxa" w:w="4513"/>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Position an asking rent</w:t>
            </w:r>
          </w:p>
        </w:tc>
        <w:tc>
          <w:tcPr>
            <w:tcW w:type="dxa" w:w="4513"/>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Site page → Lease Benchmark → Save &amp; use in score</w:t>
            </w:r>
          </w:p>
        </w:tc>
      </w:tr>
      <w:tr>
        <w:tc>
          <w:tcPr>
            <w:tcW w:type="dxa" w:w="4513"/>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Find better nearby areas</w:t>
            </w:r>
          </w:p>
        </w:tc>
        <w:tc>
          <w:tcPr>
            <w:tcW w:type="dxa" w:w="4513"/>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Site page → White-Space</w:t>
            </w:r>
          </w:p>
        </w:tc>
      </w:tr>
      <w:tr>
        <w:tc>
          <w:tcPr>
            <w:tcW w:type="dxa" w:w="4513"/>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Change inputs and run again</w:t>
            </w:r>
          </w:p>
        </w:tc>
        <w:tc>
          <w:tcPr>
            <w:tcW w:type="dxa" w:w="4513"/>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Run → ✎ Edit &amp; rerun</w:t>
            </w:r>
          </w:p>
        </w:tc>
      </w:tr>
      <w:tr>
        <w:tc>
          <w:tcPr>
            <w:tcW w:type="dxa" w:w="4513"/>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Share one site</w:t>
            </w:r>
          </w:p>
        </w:tc>
        <w:tc>
          <w:tcPr>
            <w:tcW w:type="dxa" w:w="4513"/>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Site page → Export site PDF</w:t>
            </w:r>
          </w:p>
        </w:tc>
      </w:tr>
      <w:tr>
        <w:tc>
          <w:tcPr>
            <w:tcW w:type="dxa" w:w="4513"/>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Share all sites</w:t>
            </w:r>
          </w:p>
        </w:tc>
        <w:tc>
          <w:tcPr>
            <w:tcW w:type="dxa" w:w="4513"/>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Run → Run report (all sites) → Download full report</w:t>
            </w:r>
          </w:p>
        </w:tc>
      </w:tr>
      <w:tr>
        <w:tc>
          <w:tcPr>
            <w:tcW w:type="dxa" w:w="4513"/>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Use light mode</w:t>
            </w:r>
          </w:p>
        </w:tc>
        <w:tc>
          <w:tcPr>
            <w:tcW w:type="dxa" w:w="4513"/>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Settings → Appearance</w:t>
            </w:r>
          </w:p>
        </w:tc>
      </w:tr>
    </w:tbl>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4A5873"/>
        <w:sz w:val="16"/>
        <w:szCs w:val="16"/>
      </w:rPr>
      <w:t xml:space="preserve">Confidential — for internal and client use</w:t>
    </w:r>
    <w:r>
      <w:rPr>
        <w:color w:val="4A5873"/>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2D2D2" w:sz="4" w:space="4"/>
      </w:pBdr>
      <w:tabs>
        <w:tab w:val="right" w:pos="9026"/>
      </w:tabs>
    </w:pPr>
    <w:r>
      <w:rPr>
        <w:color w:val="4A5873"/>
        <w:sz w:val="16"/>
        <w:szCs w:val="16"/>
      </w:rPr>
      <w:t xml:space="preserve">GRID Property Ventures · Business Site Analysis</w:t>
    </w:r>
    <w:r>
      <w:rPr>
        <w:b/>
        <w:bCs/>
        <w:color w:val="8E5A3B"/>
        <w:sz w:val="16"/>
        <w:szCs w:val="16"/>
      </w:rPr>
      <w:t xml:space="preserve">	User Guide &amp; User Journey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20"/>
      </w:pPr>
    </w:lvl>
  </w:abstractNum>
  <w:abstractNum w:abstractNumId="4" w15:restartNumberingAfterBreak="0">
    <w:multiLevelType w:val="hybridMultilevel"/>
    <w:lvl w:ilvl="0" w15:tentative="1">
      <w:start w:val="1"/>
      <w:numFmt w:val="decimal"/>
      <w:lvlText w:val="%1."/>
      <w:lvlJc w:val="left"/>
      <w:pPr>
        <w:ind w:left="540" w:hanging="320"/>
      </w:pPr>
    </w:lvl>
  </w:abstractNum>
  <w:abstractNum w:abstractNumId="5" w15:restartNumberingAfterBreak="0">
    <w:multiLevelType w:val="hybridMultilevel"/>
    <w:lvl w:ilvl="0" w15:tentative="1">
      <w:start w:val="1"/>
      <w:numFmt w:val="decimal"/>
      <w:lvlText w:val="%1."/>
      <w:lvlJc w:val="left"/>
      <w:pPr>
        <w:ind w:left="540" w:hanging="320"/>
      </w:pPr>
    </w:lvl>
  </w:abstractNum>
  <w:abstractNum w:abstractNumId="6" w15:restartNumberingAfterBreak="0">
    <w:multiLevelType w:val="hybridMultilevel"/>
    <w:lvl w:ilvl="0" w15:tentative="1">
      <w:start w:val="1"/>
      <w:numFmt w:val="decimal"/>
      <w:lvlText w:val="%1."/>
      <w:lvlJc w:val="left"/>
      <w:pPr>
        <w:ind w:left="540" w:hanging="320"/>
      </w:pPr>
    </w:lvl>
  </w:abstractNum>
  <w:abstractNum w:abstractNumId="7" w15:restartNumberingAfterBreak="0">
    <w:multiLevelType w:val="hybridMultilevel"/>
    <w:lvl w:ilvl="0" w15:tentative="1">
      <w:start w:val="1"/>
      <w:numFmt w:val="decimal"/>
      <w:lvlText w:val="%1."/>
      <w:lvlJc w:val="left"/>
      <w:pPr>
        <w:ind w:left="540" w:hanging="320"/>
      </w:pPr>
    </w:lvl>
  </w:abstractNum>
  <w:abstractNum w:abstractNumId="8" w15:restartNumberingAfterBreak="0">
    <w:multiLevelType w:val="hybridMultilevel"/>
    <w:lvl w:ilvl="0" w15:tentative="1">
      <w:start w:val="1"/>
      <w:numFmt w:val="decimal"/>
      <w:lvlText w:val="%1."/>
      <w:lvlJc w:val="left"/>
      <w:pPr>
        <w:ind w:left="540" w:hanging="320"/>
      </w:pPr>
    </w:lvl>
  </w:abstractNum>
  <w:abstractNum w:abstractNumId="9" w15:restartNumberingAfterBreak="0">
    <w:multiLevelType w:val="hybridMultilevel"/>
    <w:lvl w:ilvl="0" w15:tentative="1">
      <w:start w:val="1"/>
      <w:numFmt w:val="decimal"/>
      <w:lvlText w:val="%1."/>
      <w:lvlJc w:val="left"/>
      <w:pPr>
        <w:ind w:left="540" w:hanging="320"/>
      </w:pPr>
    </w:lvl>
  </w:abstractNum>
  <w:abstractNum w:abstractNumId="10" w15:restartNumberingAfterBreak="0">
    <w:multiLevelType w:val="hybridMultilevel"/>
    <w:lvl w:ilvl="0" w15:tentative="1">
      <w:start w:val="1"/>
      <w:numFmt w:val="decimal"/>
      <w:lvlText w:val="%1."/>
      <w:lvlJc w:val="left"/>
      <w:pPr>
        <w:ind w:left="540" w:hanging="320"/>
      </w:pPr>
    </w:lvl>
  </w:abstractNum>
  <w:abstractNum w:abstractNumId="11" w15:restartNumberingAfterBreak="0">
    <w:multiLevelType w:val="hybridMultilevel"/>
    <w:lvl w:ilvl="0" w15:tentative="1">
      <w:start w:val="1"/>
      <w:numFmt w:val="decimal"/>
      <w:lvlText w:val="%1."/>
      <w:lvlJc w:val="left"/>
      <w:pPr>
        <w:ind w:left="540" w:hanging="320"/>
      </w:pPr>
    </w:lvl>
  </w:abstractNum>
  <w:abstractNum w:abstractNumId="12" w15:restartNumberingAfterBreak="0">
    <w:multiLevelType w:val="hybridMultilevel"/>
    <w:lvl w:ilvl="0" w15:tentative="1">
      <w:start w:val="1"/>
      <w:numFmt w:val="decimal"/>
      <w:lvlText w:val="%1."/>
      <w:lvlJc w:val="left"/>
      <w:pPr>
        <w:ind w:left="540" w:hanging="320"/>
      </w:pPr>
    </w:lvl>
  </w:abstractNum>
  <w:abstractNum w:abstractNumId="13" w15:restartNumberingAfterBreak="0">
    <w:multiLevelType w:val="hybridMultilevel"/>
    <w:lvl w:ilvl="0" w15:tentative="1">
      <w:start w:val="1"/>
      <w:numFmt w:val="decimal"/>
      <w:lvlText w:val="%1."/>
      <w:lvlJc w:val="left"/>
      <w:pPr>
        <w:ind w:left="540" w:hanging="320"/>
      </w:pPr>
    </w:lvl>
  </w:abstractNum>
  <w:abstractNum w:abstractNumId="14" w15:restartNumberingAfterBreak="0">
    <w:multiLevelType w:val="hybridMultilevel"/>
    <w:lvl w:ilvl="0" w15:tentative="1">
      <w:start w:val="1"/>
      <w:numFmt w:val="decimal"/>
      <w:lvlText w:val="%1."/>
      <w:lvlJc w:val="left"/>
      <w:pPr>
        <w:ind w:left="540" w:hanging="320"/>
      </w:pPr>
    </w:lvl>
  </w:abstractNum>
  <w:abstractNum w:abstractNumId="15" w15:restartNumberingAfterBreak="0">
    <w:multiLevelType w:val="hybridMultilevel"/>
    <w:lvl w:ilvl="0" w15:tentative="1">
      <w:start w:val="1"/>
      <w:numFmt w:val="decimal"/>
      <w:lvlText w:val="%1."/>
      <w:lvlJc w:val="left"/>
      <w:pPr>
        <w:ind w:left="540" w:hanging="320"/>
      </w:pPr>
    </w:lvl>
  </w:abstractNum>
  <w:abstractNum w:abstractNumId="16" w15:restartNumberingAfterBreak="0">
    <w:multiLevelType w:val="hybridMultilevel"/>
    <w:lvl w:ilvl="0" w15:tentative="1">
      <w:start w:val="1"/>
      <w:numFmt w:val="decimal"/>
      <w:lvlText w:val="%1."/>
      <w:lvlJc w:val="left"/>
      <w:pPr>
        <w:ind w:left="540" w:hanging="320"/>
      </w:pPr>
    </w:lvl>
  </w:abstractNum>
  <w:abstractNum w:abstractNumId="17" w15:restartNumberingAfterBreak="0">
    <w:multiLevelType w:val="hybridMultilevel"/>
    <w:lvl w:ilvl="0" w15:tentative="1">
      <w:start w:val="1"/>
      <w:numFmt w:val="decimal"/>
      <w:lvlText w:val="%1."/>
      <w:lvlJc w:val="left"/>
      <w:pPr>
        <w:ind w:left="540" w:hanging="320"/>
      </w:pPr>
    </w:lvl>
  </w:abstractNum>
  <w:abstractNum w:abstractNumId="18" w15:restartNumberingAfterBreak="0">
    <w:multiLevelType w:val="hybridMultilevel"/>
    <w:lvl w:ilvl="0" w15:tentative="1">
      <w:start w:val="1"/>
      <w:numFmt w:val="decimal"/>
      <w:lvlText w:val="%1."/>
      <w:lvlJc w:val="left"/>
      <w:pPr>
        <w:ind w:left="540" w:hanging="320"/>
      </w:pPr>
    </w:lvl>
  </w:abstractNum>
  <w:abstractNum w:abstractNumId="19" w15:restartNumberingAfterBreak="0">
    <w:multiLevelType w:val="hybridMultilevel"/>
    <w:lvl w:ilvl="0" w15:tentative="1">
      <w:start w:val="1"/>
      <w:numFmt w:val="decimal"/>
      <w:lvlText w:val="%1."/>
      <w:lvlJc w:val="left"/>
      <w:pPr>
        <w:ind w:left="540" w:hanging="320"/>
      </w:pPr>
    </w:lvl>
  </w:abstractNum>
  <w:abstractNum w:abstractNumId="20" w15:restartNumberingAfterBreak="0">
    <w:multiLevelType w:val="hybridMultilevel"/>
    <w:lvl w:ilvl="0" w15:tentative="1">
      <w:start w:val="1"/>
      <w:numFmt w:val="decimal"/>
      <w:lvlText w:val="%1."/>
      <w:lvlJc w:val="left"/>
      <w:pPr>
        <w:ind w:left="540" w:hanging="320"/>
      </w:pPr>
    </w:lvl>
  </w:abstractNum>
  <w:abstractNum w:abstractNumId="21" w15:restartNumberingAfterBreak="0">
    <w:multiLevelType w:val="hybridMultilevel"/>
    <w:lvl w:ilvl="0" w15:tentative="1">
      <w:start w:val="1"/>
      <w:numFmt w:val="decimal"/>
      <w:lvlText w:val="%1."/>
      <w:lvlJc w:val="left"/>
      <w:pPr>
        <w:ind w:left="540" w:hanging="320"/>
      </w:pPr>
    </w:lvl>
  </w:abstractNum>
  <w:abstractNum w:abstractNumId="22" w15:restartNumberingAfterBreak="0">
    <w:multiLevelType w:val="hybridMultilevel"/>
    <w:lvl w:ilvl="0" w15:tentative="1">
      <w:start w:val="1"/>
      <w:numFmt w:val="decimal"/>
      <w:lvlText w:val="%1."/>
      <w:lvlJc w:val="left"/>
      <w:pPr>
        <w:ind w:left="540" w:hanging="320"/>
      </w:pPr>
    </w:lvl>
  </w:abstractNum>
  <w:abstractNum w:abstractNumId="23" w15:restartNumberingAfterBreak="0">
    <w:multiLevelType w:val="hybridMultilevel"/>
    <w:lvl w:ilvl="0" w15:tentative="1">
      <w:start w:val="1"/>
      <w:numFmt w:val="decimal"/>
      <w:lvlText w:val="%1."/>
      <w:lvlJc w:val="left"/>
      <w:pPr>
        <w:ind w:left="540" w:hanging="320"/>
      </w:pPr>
    </w:lvl>
  </w:abstractNum>
  <w:abstractNum w:abstractNumId="24" w15:restartNumberingAfterBreak="0">
    <w:multiLevelType w:val="hybridMultilevel"/>
    <w:lvl w:ilvl="0" w15:tentative="1">
      <w:start w:val="1"/>
      <w:numFmt w:val="decimal"/>
      <w:lvlText w:val="%1."/>
      <w:lvlJc w:val="left"/>
      <w:pPr>
        <w:ind w:left="540" w:hanging="320"/>
      </w:pPr>
    </w:lvl>
  </w:abstractNum>
  <w:abstractNum w:abstractNumId="25" w15:restartNumberingAfterBreak="0">
    <w:multiLevelType w:val="hybridMultilevel"/>
    <w:lvl w:ilvl="0" w15:tentative="1">
      <w:start w:val="1"/>
      <w:numFmt w:val="decimal"/>
      <w:lvlText w:val="%1."/>
      <w:lvlJc w:val="left"/>
      <w:pPr>
        <w:ind w:left="540" w:hanging="320"/>
      </w:pPr>
    </w:lvl>
  </w:abstractNum>
  <w:abstractNum w:abstractNumId="26" w15:restartNumberingAfterBreak="0">
    <w:multiLevelType w:val="hybridMultilevel"/>
    <w:lvl w:ilvl="0" w15:tentative="1">
      <w:start w:val="1"/>
      <w:numFmt w:val="decimal"/>
      <w:lvlText w:val="%1."/>
      <w:lvlJc w:val="left"/>
      <w:pPr>
        <w:ind w:left="540" w:hanging="320"/>
      </w:pPr>
    </w:lvl>
  </w:abstractNum>
  <w:abstractNum w:abstractNumId="27" w15:restartNumberingAfterBreak="0">
    <w:multiLevelType w:val="hybridMultilevel"/>
    <w:lvl w:ilvl="0" w15:tentative="1">
      <w:start w:val="1"/>
      <w:numFmt w:val="decimal"/>
      <w:lvlText w:val="%1."/>
      <w:lvlJc w:val="left"/>
      <w:pPr>
        <w:ind w:left="540" w:hanging="320"/>
      </w:pPr>
    </w:lvl>
  </w:abstractNum>
  <w:abstractNum w:abstractNumId="28" w15:restartNumberingAfterBreak="0">
    <w:multiLevelType w:val="hybridMultilevel"/>
    <w:lvl w:ilvl="0" w15:tentative="1">
      <w:start w:val="1"/>
      <w:numFmt w:val="decimal"/>
      <w:lvlText w:val="%1."/>
      <w:lvlJc w:val="left"/>
      <w:pPr>
        <w:ind w:left="540" w:hanging="320"/>
      </w:pPr>
    </w:lvl>
  </w:abstractNum>
  <w:abstractNum w:abstractNumId="29" w15:restartNumberingAfterBreak="0">
    <w:multiLevelType w:val="hybridMultilevel"/>
    <w:lvl w:ilvl="0" w15:tentative="1">
      <w:start w:val="1"/>
      <w:numFmt w:val="decimal"/>
      <w:lvlText w:val="%1."/>
      <w:lvlJc w:val="left"/>
      <w:pPr>
        <w:ind w:left="540" w:hanging="320"/>
      </w:pPr>
    </w:lvl>
  </w:abstractNum>
  <w:abstractNum w:abstractNumId="30" w15:restartNumberingAfterBreak="0">
    <w:multiLevelType w:val="hybridMultilevel"/>
    <w:lvl w:ilvl="0" w15:tentative="1">
      <w:start w:val="1"/>
      <w:numFmt w:val="decimal"/>
      <w:lvlText w:val="%1."/>
      <w:lvlJc w:val="left"/>
      <w:pPr>
        <w:ind w:left="540" w:hanging="320"/>
      </w:pPr>
    </w:lvl>
  </w:abstractNum>
  <w:abstractNum w:abstractNumId="31" w15:restartNumberingAfterBreak="0">
    <w:multiLevelType w:val="hybridMultilevel"/>
    <w:lvl w:ilvl="0" w15:tentative="1">
      <w:start w:val="1"/>
      <w:numFmt w:val="decimal"/>
      <w:lvlText w:val="%1."/>
      <w:lvlJc w:val="left"/>
      <w:pPr>
        <w:ind w:left="540" w:hanging="320"/>
      </w:pPr>
    </w:lvl>
  </w:abstractNum>
  <w:abstractNum w:abstractNumId="32" w15:restartNumberingAfterBreak="0">
    <w:multiLevelType w:val="hybridMultilevel"/>
    <w:lvl w:ilvl="0" w15:tentative="1">
      <w:start w:val="1"/>
      <w:numFmt w:val="decimal"/>
      <w:lvlText w:val="%1."/>
      <w:lvlJc w:val="left"/>
      <w:pPr>
        <w:ind w:left="540" w:hanging="320"/>
      </w:pPr>
    </w:lvl>
  </w:abstractNum>
  <w:abstractNum w:abstractNumId="33" w15:restartNumberingAfterBreak="0">
    <w:multiLevelType w:val="hybridMultilevel"/>
    <w:lvl w:ilvl="0" w15:tentative="1">
      <w:start w:val="1"/>
      <w:numFmt w:val="decimal"/>
      <w:lvlText w:val="%1."/>
      <w:lvlJc w:val="left"/>
      <w:pPr>
        <w:ind w:left="540" w:hanging="320"/>
      </w:pPr>
    </w:lvl>
  </w:abstractNum>
  <w:abstractNum w:abstractNumId="34" w15:restartNumberingAfterBreak="0">
    <w:multiLevelType w:val="hybridMultilevel"/>
    <w:lvl w:ilvl="0" w15:tentative="1">
      <w:start w:val="1"/>
      <w:numFmt w:val="decimal"/>
      <w:lvlText w:val="%1."/>
      <w:lvlJc w:val="left"/>
      <w:pPr>
        <w:ind w:left="540" w:hanging="320"/>
      </w:pPr>
    </w:lvl>
  </w:abstractNum>
  <w:abstractNum w:abstractNumId="35" w15:restartNumberingAfterBreak="0">
    <w:multiLevelType w:val="hybridMultilevel"/>
    <w:lvl w:ilvl="0" w15:tentative="1">
      <w:start w:val="1"/>
      <w:numFmt w:val="decimal"/>
      <w:lvlText w:val="%1."/>
      <w:lvlJc w:val="left"/>
      <w:pPr>
        <w:ind w:left="540" w:hanging="320"/>
      </w:pPr>
    </w:lvl>
  </w:abstractNum>
  <w:abstractNum w:abstractNumId="36" w15:restartNumberingAfterBreak="0">
    <w:multiLevelType w:val="hybridMultilevel"/>
    <w:lvl w:ilvl="0" w15:tentative="1">
      <w:start w:val="1"/>
      <w:numFmt w:val="decimal"/>
      <w:lvlText w:val="%1."/>
      <w:lvlJc w:val="left"/>
      <w:pPr>
        <w:ind w:left="540" w:hanging="320"/>
      </w:pPr>
    </w:lvl>
  </w:abstractNum>
  <w:abstractNum w:abstractNumId="37" w15:restartNumberingAfterBreak="0">
    <w:multiLevelType w:val="hybridMultilevel"/>
    <w:lvl w:ilvl="0" w15:tentative="1">
      <w:start w:val="1"/>
      <w:numFmt w:val="decimal"/>
      <w:lvlText w:val="%1."/>
      <w:lvlJc w:val="left"/>
      <w:pPr>
        <w:ind w:left="540" w:hanging="320"/>
      </w:pPr>
    </w:lvl>
  </w:abstractNum>
  <w:abstractNum w:abstractNumId="38" w15:restartNumberingAfterBreak="0">
    <w:multiLevelType w:val="hybridMultilevel"/>
    <w:lvl w:ilvl="0" w15:tentative="1">
      <w:start w:val="1"/>
      <w:numFmt w:val="decimal"/>
      <w:lvlText w:val="%1."/>
      <w:lvlJc w:val="left"/>
      <w:pPr>
        <w:ind w:left="540" w:hanging="320"/>
      </w:pPr>
    </w:lvl>
  </w:abstractNum>
  <w:abstractNum w:abstractNumId="39" w15:restartNumberingAfterBreak="0">
    <w:multiLevelType w:val="hybridMultilevel"/>
    <w:lvl w:ilvl="0" w15:tentative="1">
      <w:start w:val="1"/>
      <w:numFmt w:val="decimal"/>
      <w:lvlText w:val="%1."/>
      <w:lvlJc w:val="left"/>
      <w:pPr>
        <w:ind w:left="540" w:hanging="320"/>
      </w:pPr>
    </w:lvl>
  </w:abstractNum>
  <w:abstractNum w:abstractNumId="40" w15:restartNumberingAfterBreak="0">
    <w:multiLevelType w:val="hybridMultilevel"/>
    <w:lvl w:ilvl="0" w15:tentative="1">
      <w:start w:val="1"/>
      <w:numFmt w:val="decimal"/>
      <w:lvlText w:val="%1."/>
      <w:lvlJc w:val="left"/>
      <w:pPr>
        <w:ind w:left="540" w:hanging="320"/>
      </w:pPr>
    </w:lvl>
  </w:abstractNum>
  <w:abstractNum w:abstractNumId="41" w15:restartNumberingAfterBreak="0">
    <w:multiLevelType w:val="hybridMultilevel"/>
    <w:lvl w:ilvl="0" w15:tentative="1">
      <w:start w:val="1"/>
      <w:numFmt w:val="decimal"/>
      <w:lvlText w:val="%1."/>
      <w:lvlJc w:val="left"/>
      <w:pPr>
        <w:ind w:left="540" w:hanging="320"/>
      </w:pPr>
    </w:lvl>
  </w:abstractNum>
  <w:abstractNum w:abstractNumId="42"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633"/>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E8562" w:sz="12" w:space="6"/>
      </w:pBdr>
      <w:spacing w:after="160" w:before="240"/>
      <w:outlineLvl w:val="0"/>
    </w:pPr>
    <w:rPr>
      <w:rFonts w:ascii="Poppins" w:cs="Poppins" w:eastAsia="Poppins" w:hAnsi="Poppins"/>
      <w:b/>
      <w:bCs/>
      <w:color w:val="1C335E"/>
      <w:sz w:val="34"/>
      <w:szCs w:val="34"/>
    </w:rPr>
  </w:style>
  <w:style w:type="paragraph" w:styleId="Heading2">
    <w:name w:val="Heading 2"/>
    <w:basedOn w:val="Normal"/>
    <w:next w:val="Normal"/>
    <w:qFormat/>
    <w:pPr>
      <w:spacing w:after="110" w:before="280"/>
      <w:outlineLvl w:val="1"/>
    </w:pPr>
    <w:rPr>
      <w:rFonts w:ascii="Poppins" w:cs="Poppins" w:eastAsia="Poppins" w:hAnsi="Poppins"/>
      <w:b/>
      <w:bCs/>
      <w:color w:val="1C335E"/>
      <w:sz w:val="26"/>
      <w:szCs w:val="26"/>
    </w:rPr>
  </w:style>
  <w:style w:type="paragraph" w:styleId="Heading3">
    <w:name w:val="Heading 3"/>
    <w:basedOn w:val="Normal"/>
    <w:next w:val="Normal"/>
    <w:qFormat/>
    <w:pPr>
      <w:spacing w:after="80" w:before="200"/>
      <w:outlineLvl w:val="2"/>
    </w:pPr>
    <w:rPr>
      <w:rFonts w:ascii="Poppins" w:cs="Poppins" w:eastAsia="Poppins" w:hAnsi="Poppins"/>
      <w:b/>
      <w:bCs/>
      <w:color w:val="8E5A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9fd05deb12f6db8e8ac259e4447a86e8afdb1f1e.png"/><Relationship Id="rId12" Type="http://schemas.openxmlformats.org/officeDocument/2006/relationships/image" Target="media/37580bb4b1f0c1e48c0b55c093287bef82cd4860.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Guide &amp; User Journey</dc:title>
  <dc:creator>Grid Property Ventures — BSA Agency</dc:creator>
  <dc:description>User Guide &amp; User Journey</dc:description>
  <cp:lastModifiedBy>Un-named</cp:lastModifiedBy>
  <cp:revision>1</cp:revision>
  <dcterms:created xsi:type="dcterms:W3CDTF">2026-10-01T05:23:47.612Z</dcterms:created>
  <dcterms:modified xsi:type="dcterms:W3CDTF">2026-10-01T05:23:47.612Z</dcterms:modified>
</cp:coreProperties>
</file>

<file path=docProps/custom.xml><?xml version="1.0" encoding="utf-8"?>
<Properties xmlns="http://schemas.openxmlformats.org/officeDocument/2006/custom-properties" xmlns:vt="http://schemas.openxmlformats.org/officeDocument/2006/docPropsVTypes"/>
</file>