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B89B5E"/>
          <w:spacing w:val="60"/>
          <w:sz w:val="24"/>
          <w:szCs w:val="24"/>
        </w:rPr>
        <w:t xml:space="preserve">GRID PROPERTY VENTURES</w:t>
      </w:r>
    </w:p>
    <w:p>
      <w:pPr>
        <w:pBdr>
          <w:bottom w:val="single" w:color="B89B5E" w:sz="8" w:space="8"/>
        </w:pBdr>
        <w:spacing w:after="260"/>
        <w:jc w:val="center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B3A5C"/>
          <w:sz w:val="56"/>
          <w:szCs w:val="56"/>
        </w:rPr>
        <w:t xml:space="preserve">Business Site Analysis (BSA)</w:t>
      </w:r>
    </w:p>
    <w:p>
      <w:pPr>
        <w:spacing w:after="340"/>
        <w:jc w:val="center"/>
      </w:pPr>
      <w:r>
        <w:rPr>
          <w:rFonts w:ascii="Calibri" w:cs="Calibri" w:eastAsia="Calibri" w:hAnsi="Calibri"/>
          <w:color w:val="6B6252"/>
          <w:sz w:val="32"/>
          <w:szCs w:val="32"/>
        </w:rPr>
        <w:t xml:space="preserve">How It Works — A Plain-Language Guide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2E2A22"/>
          <w:sz w:val="24"/>
          <w:szCs w:val="24"/>
        </w:rPr>
        <w:t xml:space="preserve">A visual, non-technical walkthrough of what BSA does,</w:t>
      </w:r>
    </w:p>
    <w:p>
      <w:pPr>
        <w:spacing w:after="900"/>
        <w:jc w:val="center"/>
      </w:pPr>
      <w:r>
        <w:rPr>
          <w:rFonts w:ascii="Calibri" w:cs="Calibri" w:eastAsia="Calibri" w:hAnsi="Calibri"/>
          <w:color w:val="2E2A22"/>
          <w:sz w:val="24"/>
          <w:szCs w:val="24"/>
        </w:rPr>
        <w:t xml:space="preserve">how a broker uses it, and why its answers can be trusted.</w:t>
      </w:r>
    </w:p>
    <w:p>
      <w:pPr>
        <w:spacing w:after="30"/>
        <w:jc w:val="center"/>
      </w:pPr>
      <w:r>
        <w:rPr>
          <w:rFonts w:ascii="Calibri" w:cs="Calibri" w:eastAsia="Calibri" w:hAnsi="Calibri"/>
          <w:i/>
          <w:iCs/>
          <w:color w:val="6B6252"/>
          <w:sz w:val="22"/>
          <w:szCs w:val="22"/>
        </w:rPr>
        <w:t xml:space="preserve">Prepared for leadership and investors</w:t>
      </w:r>
    </w:p>
    <w:p>
      <w:pPr>
        <w:jc w:val="center"/>
      </w:pPr>
      <w:r>
        <w:rPr>
          <w:rFonts w:ascii="Calibri" w:cs="Calibri" w:eastAsia="Calibri" w:hAnsi="Calibri"/>
          <w:color w:val="6B6252"/>
          <w:sz w:val="22"/>
          <w:szCs w:val="22"/>
        </w:rPr>
        <w:t xml:space="preserve">August 2026  ·  BSA Agency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B3A5C"/>
          <w:sz w:val="34"/>
          <w:szCs w:val="34"/>
        </w:rPr>
        <w:t xml:space="preserve">The Short Version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/>
          <w:bCs/>
          <w:color w:val="2E2A22"/>
          <w:sz w:val="22"/>
          <w:szCs w:val="22"/>
        </w:rPr>
        <w:t xml:space="preserve">Business Site Analysis (BSA)</w:t>
      </w:r>
      <w:r>
        <w:rPr>
          <w:rFonts w:ascii="Calibri" w:cs="Calibri" w:eastAsia="Calibri" w:hAnsi="Calibri"/>
          <w:color w:val="2E2A22"/>
          <w:sz w:val="22"/>
          <w:szCs w:val="22"/>
        </w:rPr>
        <w:t xml:space="preserve"> helps a real-estate broker answer one deceptively hard question: </w:t>
      </w:r>
      <w:r>
        <w:rPr>
          <w:rFonts w:ascii="Calibri" w:cs="Calibri" w:eastAsia="Calibri" w:hAnsi="Calibri"/>
          <w:i/>
          <w:iCs/>
          <w:color w:val="1B3A5C"/>
          <w:sz w:val="22"/>
          <w:szCs w:val="22"/>
        </w:rPr>
        <w:t xml:space="preserve">“Is this a good location for a new branch?”</w:t>
      </w:r>
      <w:r>
        <w:rPr>
          <w:rFonts w:ascii="Calibri" w:cs="Calibri" w:eastAsia="Calibri" w:hAnsi="Calibri"/>
          <w:color w:val="2E2A22"/>
          <w:sz w:val="22"/>
          <w:szCs w:val="22"/>
        </w:rPr>
        <w:t xml:space="preserve"> Today that answer depends on a broker’s experience, scattered spreadsheets, and a lot of legwork. BSA gathers the real-world data around a candidate site — nearby competitors, population, foot traffic, lease rates, malls, roads — measures it, and hands the broker a clear, plain-language verdict backed by real numbers, all in one shareable report.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color w:val="2E2A22"/>
          <w:sz w:val="22"/>
          <w:szCs w:val="22"/>
        </w:rPr>
        <w:t xml:space="preserve">Crucially, BSA is built to </w:t>
      </w:r>
      <w:r>
        <w:rPr>
          <w:rFonts w:ascii="Calibri" w:cs="Calibri" w:eastAsia="Calibri" w:hAnsi="Calibri"/>
          <w:b/>
          <w:bCs/>
          <w:color w:val="2F6B4F"/>
          <w:sz w:val="22"/>
          <w:szCs w:val="22"/>
        </w:rPr>
        <w:t xml:space="preserve">sharpen the broker’s judgment, not replace it</w:t>
      </w:r>
      <w:r>
        <w:rPr>
          <w:rFonts w:ascii="Calibri" w:cs="Calibri" w:eastAsia="Calibri" w:hAnsi="Calibri"/>
          <w:color w:val="2E2A22"/>
          <w:sz w:val="22"/>
          <w:szCs w:val="22"/>
        </w:rPr>
        <w:t xml:space="preserve">. The broker still walks the site, reads the room, and closes the deal. BSA simply gives them a faster, evidence-backed head start — and gives their client a professional report to stand behind the recommendation.</w:t>
      </w:r>
    </w:p>
    <w:p>
      <w:pPr>
        <w:spacing w:after="160" w:before="16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6B6252"/>
          <w:sz w:val="18"/>
          <w:szCs w:val="18"/>
        </w:rPr>
        <w:t xml:space="preserve">Figure 1 — What BSA does, at a glance: a question in, a grounded answer out.</w:t>
      </w:r>
    </w:p>
    <w:tbl>
      <w:tblPr>
        <w:tblW w:type="dxa" w:w="9360"/>
        <w:tblBorders>
          <w:top w:val="single" w:color="B89B5E" w:sz="2"/>
          <w:left w:val="single" w:color="B89B5E" w:sz="18"/>
          <w:bottom w:val="single" w:color="B89B5E" w:sz="2"/>
          <w:right w:val="single" w:color="B89B5E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F8F1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2"/>
                <w:szCs w:val="22"/>
              </w:rPr>
              <w:t xml:space="preserve">The one idea to remember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A22"/>
                <w:sz w:val="21"/>
                <w:szCs w:val="21"/>
              </w:rPr>
              <w:t xml:space="preserve">BSA turns the messy, real world around a location into a </w:t>
            </w:r>
            <w:r>
              <w:rPr>
                <w:rFonts w:ascii="Calibri" w:cs="Calibri" w:eastAsia="Calibri" w:hAnsi="Calibri"/>
                <w:b/>
                <w:bCs/>
                <w:color w:val="2E2A22"/>
                <w:sz w:val="21"/>
                <w:szCs w:val="21"/>
              </w:rPr>
              <w:t xml:space="preserve">decision-ready answer</w:t>
            </w:r>
            <w:r>
              <w:rPr>
                <w:rFonts w:ascii="Calibri" w:cs="Calibri" w:eastAsia="Calibri" w:hAnsi="Calibri"/>
                <w:color w:val="2E2A22"/>
                <w:sz w:val="21"/>
                <w:szCs w:val="21"/>
              </w:rPr>
              <w:t xml:space="preserve"> — quickly, consistently, and with every number honestly labeled for how certain it is.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B3A5C"/>
          <w:sz w:val="34"/>
          <w:szCs w:val="34"/>
        </w:rPr>
        <w:t xml:space="preserve">How a Broker Actually Uses It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color w:val="2E2A22"/>
          <w:sz w:val="22"/>
          <w:szCs w:val="22"/>
        </w:rPr>
        <w:t xml:space="preserve">From the broker’s seat, BSA is a guided five-step flow. There is no code to write and no database to understand — just a form, a map, and a report at the end. Here is the whole journey.</w:t>
      </w:r>
    </w:p>
    <w:p>
      <w:pPr>
        <w:spacing w:after="160" w:before="160"/>
        <w:jc w:val="center"/>
      </w:pPr>
      <w:r>
        <w:drawing>
          <wp:inline distT="0" distB="0" distL="0" distR="0">
            <wp:extent cx="5943600" cy="4276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6B6252"/>
          <w:sz w:val="18"/>
          <w:szCs w:val="18"/>
        </w:rPr>
        <w:t xml:space="preserve">Figure 2 — The broker’s journey, from setup to a finished report.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B89B5E"/>
          <w:sz w:val="26"/>
          <w:szCs w:val="26"/>
        </w:rPr>
        <w:t xml:space="preserve">Walking through the five steps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Step 1 — Set up the brand.</w:t>
      </w:r>
      <w:r>
        <w:rPr>
          <w:rFonts w:ascii="Calibri" w:cs="Calibri" w:eastAsia="Calibri" w:hAnsi="Calibri"/>
          <w:color w:val="2E2A22"/>
          <w:sz w:val="22"/>
          <w:szCs w:val="22"/>
        </w:rPr>
        <w:t xml:space="preserve"> A short guided form captures the brand, what kind of business it is, and where its existing branches are. BSA won’t move forward until enough detail is filled in — a built-in completeness check keeps the quality of every analysis high.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Step 2 — Drop the candidate sites on the map.</w:t>
      </w:r>
      <w:r>
        <w:rPr>
          <w:rFonts w:ascii="Calibri" w:cs="Calibri" w:eastAsia="Calibri" w:hAnsi="Calibri"/>
          <w:color w:val="2E2A22"/>
          <w:sz w:val="22"/>
          <w:szCs w:val="22"/>
        </w:rPr>
        <w:t xml:space="preserve"> The broker types an address and BSA pins it automatically. Each location the brand is weighing becomes a “candidate site” to be analyzed and compared against the others.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Step 3 — BSA runs the analysis.</w:t>
      </w:r>
      <w:r>
        <w:rPr>
          <w:rFonts w:ascii="Calibri" w:cs="Calibri" w:eastAsia="Calibri" w:hAnsi="Calibri"/>
          <w:color w:val="2E2A22"/>
          <w:sz w:val="22"/>
          <w:szCs w:val="22"/>
        </w:rPr>
        <w:t xml:space="preserve"> Behind the scenes, a set of specialist checks measures each site — competition, lease rates, foot traffic by time of day, market gaps, and more. This is where the heavy lifting happens, and it happens in seconds, not days.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Step 4 — See the verdict for each site.</w:t>
      </w:r>
      <w:r>
        <w:rPr>
          <w:rFonts w:ascii="Calibri" w:cs="Calibri" w:eastAsia="Calibri" w:hAnsi="Calibri"/>
          <w:color w:val="2E2A22"/>
          <w:sz w:val="22"/>
          <w:szCs w:val="22"/>
        </w:rPr>
        <w:t xml:space="preserve"> Every site gets a plain-language read shown on a map with its supporting numbers. For example, a proposed branch might </w:t>
      </w:r>
      <w:r>
        <w:rPr>
          <w:rFonts w:ascii="Calibri" w:cs="Calibri" w:eastAsia="Calibri" w:hAnsi="Calibri"/>
          <w:b/>
          <w:bCs/>
          <w:color w:val="2F6B4F"/>
          <w:sz w:val="22"/>
          <w:szCs w:val="22"/>
        </w:rPr>
        <w:t xml:space="preserve">add</w:t>
      </w:r>
      <w:r>
        <w:rPr>
          <w:rFonts w:ascii="Calibri" w:cs="Calibri" w:eastAsia="Calibri" w:hAnsi="Calibri"/>
          <w:color w:val="2E2A22"/>
          <w:sz w:val="22"/>
          <w:szCs w:val="22"/>
        </w:rPr>
        <w:t xml:space="preserve"> genuinely new customers, or it might mostly </w:t>
      </w:r>
      <w:r>
        <w:rPr>
          <w:rFonts w:ascii="Calibri" w:cs="Calibri" w:eastAsia="Calibri" w:hAnsi="Calibri"/>
          <w:b/>
          <w:bCs/>
          <w:color w:val="A4562A"/>
          <w:sz w:val="22"/>
          <w:szCs w:val="22"/>
        </w:rPr>
        <w:t xml:space="preserve">redistribute</w:t>
      </w:r>
      <w:r>
        <w:rPr>
          <w:rFonts w:ascii="Calibri" w:cs="Calibri" w:eastAsia="Calibri" w:hAnsi="Calibri"/>
          <w:color w:val="2E2A22"/>
          <w:sz w:val="22"/>
          <w:szCs w:val="22"/>
        </w:rPr>
        <w:t xml:space="preserve"> sales away from a branch the brand already owns nearby.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Step 5 — Generate the report.</w:t>
      </w:r>
      <w:r>
        <w:rPr>
          <w:rFonts w:ascii="Calibri" w:cs="Calibri" w:eastAsia="Calibri" w:hAnsi="Calibri"/>
          <w:color w:val="2E2A22"/>
          <w:sz w:val="22"/>
          <w:szCs w:val="22"/>
        </w:rPr>
        <w:t xml:space="preserve"> One click produces a shareable Site Intelligence Report — a nine-part write-up the broker can bring straight to the client. The report even carries a confidence rating based on how solid the underlying data was.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B3A5C"/>
          <w:sz w:val="34"/>
          <w:szCs w:val="34"/>
        </w:rPr>
        <w:t xml:space="preserve">What BSA Looks At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color w:val="2E2A22"/>
          <w:sz w:val="22"/>
          <w:szCs w:val="22"/>
        </w:rPr>
        <w:t xml:space="preserve">When BSA “runs the analysis,” it is really running a panel of specialist checks against each site — each answering one focused question. Not every check applies to every business, so BSA automatically switches on the ones that matter for the brand at hand (a café and a pharmacy get different checks).</w:t>
      </w:r>
    </w:p>
    <w:p>
      <w:pPr>
        <w:spacing w:after="160" w:before="16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6B6252"/>
          <w:sz w:val="18"/>
          <w:szCs w:val="18"/>
        </w:rPr>
        <w:t xml:space="preserve">Figure 3 — The specialist checks that surround each site. The right ones activate per business type.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color w:val="2E2A22"/>
          <w:sz w:val="22"/>
          <w:szCs w:val="22"/>
        </w:rPr>
        <w:t xml:space="preserve">The most-used check, </w:t>
      </w: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Territory Guard</w:t>
      </w:r>
      <w:r>
        <w:rPr>
          <w:rFonts w:ascii="Calibri" w:cs="Calibri" w:eastAsia="Calibri" w:hAnsi="Calibri"/>
          <w:color w:val="2E2A22"/>
          <w:sz w:val="22"/>
          <w:szCs w:val="22"/>
        </w:rPr>
        <w:t xml:space="preserve">, deserves a special mention because it captures a risk brokers care about most: opening a new branch so close to an existing one that it simply cannibalizes its own sales. BSA measures how much the trade areas overlap and states plainly whether the new site </w:t>
      </w:r>
      <w:r>
        <w:rPr>
          <w:rFonts w:ascii="Calibri" w:cs="Calibri" w:eastAsia="Calibri" w:hAnsi="Calibri"/>
          <w:b/>
          <w:bCs/>
          <w:color w:val="2F6B4F"/>
          <w:sz w:val="22"/>
          <w:szCs w:val="22"/>
        </w:rPr>
        <w:t xml:space="preserve">adds</w:t>
      </w:r>
      <w:r>
        <w:rPr>
          <w:rFonts w:ascii="Calibri" w:cs="Calibri" w:eastAsia="Calibri" w:hAnsi="Calibri"/>
          <w:color w:val="2E2A22"/>
          <w:sz w:val="22"/>
          <w:szCs w:val="22"/>
        </w:rPr>
        <w:t xml:space="preserve">, is </w:t>
      </w:r>
      <w:r>
        <w:rPr>
          <w:rFonts w:ascii="Calibri" w:cs="Calibri" w:eastAsia="Calibri" w:hAnsi="Calibri"/>
          <w:b/>
          <w:bCs/>
          <w:color w:val="B89B5E"/>
          <w:sz w:val="22"/>
          <w:szCs w:val="22"/>
        </w:rPr>
        <w:t xml:space="preserve">mixed</w:t>
      </w:r>
      <w:r>
        <w:rPr>
          <w:rFonts w:ascii="Calibri" w:cs="Calibri" w:eastAsia="Calibri" w:hAnsi="Calibri"/>
          <w:color w:val="2E2A22"/>
          <w:sz w:val="22"/>
          <w:szCs w:val="22"/>
        </w:rPr>
        <w:t xml:space="preserve">, or mostly </w:t>
      </w:r>
      <w:r>
        <w:rPr>
          <w:rFonts w:ascii="Calibri" w:cs="Calibri" w:eastAsia="Calibri" w:hAnsi="Calibri"/>
          <w:b/>
          <w:bCs/>
          <w:color w:val="A4562A"/>
          <w:sz w:val="22"/>
          <w:szCs w:val="22"/>
        </w:rPr>
        <w:t xml:space="preserve">redistributes</w:t>
      </w:r>
      <w:r>
        <w:rPr>
          <w:rFonts w:ascii="Calibri" w:cs="Calibri" w:eastAsia="Calibri" w:hAnsi="Calibri"/>
          <w:color w:val="2E2A22"/>
          <w:sz w:val="22"/>
          <w:szCs w:val="22"/>
        </w:rPr>
        <w:t xml:space="preserve"> existing business.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B3A5C"/>
          <w:sz w:val="34"/>
          <w:szCs w:val="34"/>
        </w:rPr>
        <w:t xml:space="preserve">Why BSA’s Numbers Can Be Trusted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color w:val="2E2A22"/>
          <w:sz w:val="22"/>
          <w:szCs w:val="22"/>
        </w:rPr>
        <w:t xml:space="preserve">A location report is only as good as the trust behind its numbers. BSA’s answer to that is a feature we call the </w:t>
      </w: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Truth Layer</w:t>
      </w:r>
      <w:r>
        <w:rPr>
          <w:rFonts w:ascii="Calibri" w:cs="Calibri" w:eastAsia="Calibri" w:hAnsi="Calibri"/>
          <w:color w:val="2E2A22"/>
          <w:sz w:val="22"/>
          <w:szCs w:val="22"/>
        </w:rPr>
        <w:t xml:space="preserve">. Every single figure BSA presents carries one of three honesty tags, so a reader can instantly tell a hard fact from an educated guess.</w:t>
      </w:r>
    </w:p>
    <w:p>
      <w:pPr>
        <w:spacing w:after="160" w:before="160"/>
        <w:jc w:val="center"/>
      </w:pPr>
      <w:r>
        <w:drawing>
          <wp:inline distT="0" distB="0" distL="0" distR="0">
            <wp:extent cx="5943600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6B6252"/>
          <w:sz w:val="18"/>
          <w:szCs w:val="18"/>
        </w:rPr>
        <w:t xml:space="preserve">Figure 4 — Every number BSA shows is tagged Verified, Assumed, or Projected.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rFonts w:ascii="Calibri" w:cs="Calibri" w:eastAsia="Calibri" w:hAnsi="Calibri"/>
          <w:b/>
          <w:bCs/>
          <w:color w:val="2F6B4F"/>
          <w:sz w:val="22"/>
          <w:szCs w:val="22"/>
        </w:rPr>
        <w:t xml:space="preserve">Verified</w:t>
      </w:r>
      <w:r>
        <w:rPr>
          <w:rFonts w:ascii="Calibri" w:cs="Calibri" w:eastAsia="Calibri" w:hAnsi="Calibri"/>
          <w:color w:val="2E2A22"/>
          <w:sz w:val="22"/>
          <w:szCs w:val="22"/>
        </w:rPr>
        <w:t xml:space="preserve"> — measured from real, trusted data (for example, the true distance between two sites, or an official census population).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rFonts w:ascii="Calibri" w:cs="Calibri" w:eastAsia="Calibri" w:hAnsi="Calibri"/>
          <w:b/>
          <w:bCs/>
          <w:color w:val="9A7F45"/>
          <w:sz w:val="22"/>
          <w:szCs w:val="22"/>
        </w:rPr>
        <w:t xml:space="preserve">Assumed</w:t>
      </w:r>
      <w:r>
        <w:rPr>
          <w:rFonts w:ascii="Calibri" w:cs="Calibri" w:eastAsia="Calibri" w:hAnsi="Calibri"/>
          <w:color w:val="2E2A22"/>
          <w:sz w:val="22"/>
          <w:szCs w:val="22"/>
        </w:rPr>
        <w:t xml:space="preserve"> — a sensible estimate used where exact data isn’t available (for example, a fair rent range for an area).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rFonts w:ascii="Calibri" w:cs="Calibri" w:eastAsia="Calibri" w:hAnsi="Calibri"/>
          <w:b/>
          <w:bCs/>
          <w:color w:val="345492"/>
          <w:sz w:val="22"/>
          <w:szCs w:val="22"/>
        </w:rPr>
        <w:t xml:space="preserve">Projected</w:t>
      </w:r>
      <w:r>
        <w:rPr>
          <w:rFonts w:ascii="Calibri" w:cs="Calibri" w:eastAsia="Calibri" w:hAnsi="Calibri"/>
          <w:color w:val="2E2A22"/>
          <w:sz w:val="22"/>
          <w:szCs w:val="22"/>
        </w:rPr>
        <w:t xml:space="preserve"> — a forward-looking forecast of what could happen, clearly marked as a prediction rather than a fact.</w:t>
      </w:r>
    </w:p>
    <w:p>
      <w:pPr>
        <w:spacing w:after="60" w:line="276"/>
        <w:jc w:val="left"/>
      </w:pPr>
      <w:r>
        <w:rPr>
          <w:rFonts w:ascii="Calibri" w:cs="Calibri" w:eastAsia="Calibri" w:hAnsi="Calibri"/>
          <w:color w:val="2E2A22"/>
          <w:sz w:val="22"/>
          <w:szCs w:val="22"/>
        </w:rPr>
        <w:t xml:space="preserve">These labels are not cosmetic. They are attached to the data from the moment it enters the system and stay attached all the way into the final report — nothing is ever dressed up as more certain than it really is. When a site simply doesn’t have enough data behind it, BSA says so rather than inventing a confident-sounding answer.</w:t>
      </w:r>
    </w:p>
    <w:tbl>
      <w:tblPr>
        <w:tblW w:type="dxa" w:w="9360"/>
        <w:tblBorders>
          <w:top w:val="single" w:color="2F6B4F" w:sz="2"/>
          <w:left w:val="single" w:color="2F6B4F" w:sz="18"/>
          <w:bottom w:val="single" w:color="2F6B4F" w:sz="2"/>
          <w:right w:val="single" w:color="2F6B4F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F8F1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2"/>
                <w:szCs w:val="22"/>
              </w:rPr>
              <w:t xml:space="preserve">The honest-by-design principle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A22"/>
                <w:sz w:val="21"/>
                <w:szCs w:val="21"/>
              </w:rPr>
              <w:t xml:space="preserve">BSA would rather tell a broker </w:t>
            </w:r>
            <w:r>
              <w:rPr>
                <w:rFonts w:ascii="Calibri" w:cs="Calibri" w:eastAsia="Calibri" w:hAnsi="Calibri"/>
                <w:i/>
                <w:iCs/>
                <w:color w:val="2E2A22"/>
                <w:sz w:val="21"/>
                <w:szCs w:val="21"/>
              </w:rPr>
              <w:t xml:space="preserve">“we don’t have enough data here”</w:t>
            </w:r>
            <w:r>
              <w:rPr>
                <w:rFonts w:ascii="Calibri" w:cs="Calibri" w:eastAsia="Calibri" w:hAnsi="Calibri"/>
                <w:color w:val="2E2A22"/>
                <w:sz w:val="21"/>
                <w:szCs w:val="21"/>
              </w:rPr>
              <w:t xml:space="preserve"> than fabricate a number. That honesty is what makes the report safe to put in front of a paying client.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B3A5C"/>
          <w:sz w:val="34"/>
          <w:szCs w:val="34"/>
        </w:rPr>
        <w:t xml:space="preserve">How BSA Uses AI — Safely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color w:val="2E2A22"/>
          <w:sz w:val="22"/>
          <w:szCs w:val="22"/>
        </w:rPr>
        <w:t xml:space="preserve">BSA does use artificial intelligence — but in a deliberately constrained way that avoids the usual risk of AI “making things up.” The rule is simple: </w:t>
      </w: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the AI writes the words, but it is never allowed to invent the numbers.</w:t>
      </w:r>
    </w:p>
    <w:p>
      <w:pPr>
        <w:spacing w:after="160" w:before="160"/>
        <w:jc w:val="center"/>
      </w:pPr>
      <w:r>
        <w:drawing>
          <wp:inline distT="0" distB="0" distL="0" distR="0">
            <wp:extent cx="5943600" cy="3419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6B6252"/>
          <w:sz w:val="18"/>
          <w:szCs w:val="18"/>
        </w:rPr>
        <w:t xml:space="preserve">Figure 5 — Facts first, words second: how BSA keeps its AI grounded.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color w:val="2E2A22"/>
          <w:sz w:val="22"/>
          <w:szCs w:val="22"/>
        </w:rPr>
        <w:t xml:space="preserve">It works in two steps. </w:t>
      </w:r>
      <w:r>
        <w:rPr>
          <w:rFonts w:ascii="Calibri" w:cs="Calibri" w:eastAsia="Calibri" w:hAnsi="Calibri"/>
          <w:b/>
          <w:bCs/>
          <w:color w:val="2E2A22"/>
          <w:sz w:val="22"/>
          <w:szCs w:val="22"/>
        </w:rPr>
        <w:t xml:space="preserve">First</w:t>
      </w:r>
      <w:r>
        <w:rPr>
          <w:rFonts w:ascii="Calibri" w:cs="Calibri" w:eastAsia="Calibri" w:hAnsi="Calibri"/>
          <w:color w:val="2E2A22"/>
          <w:sz w:val="22"/>
          <w:szCs w:val="22"/>
        </w:rPr>
        <w:t xml:space="preserve">, ordinary, checkable software pulls the exact figures from the database — no AI involved. </w:t>
      </w:r>
      <w:r>
        <w:rPr>
          <w:rFonts w:ascii="Calibri" w:cs="Calibri" w:eastAsia="Calibri" w:hAnsi="Calibri"/>
          <w:b/>
          <w:bCs/>
          <w:color w:val="2E2A22"/>
          <w:sz w:val="22"/>
          <w:szCs w:val="22"/>
        </w:rPr>
        <w:t xml:space="preserve">Second</w:t>
      </w:r>
      <w:r>
        <w:rPr>
          <w:rFonts w:ascii="Calibri" w:cs="Calibri" w:eastAsia="Calibri" w:hAnsi="Calibri"/>
          <w:color w:val="2E2A22"/>
          <w:sz w:val="22"/>
          <w:szCs w:val="22"/>
        </w:rPr>
        <w:t xml:space="preserve">, the AI takes only those already-established facts and phrases them into a clear, readable verdict. Because the facts are locked in before the AI ever speaks, the model can only describe what the data already proved. It cannot guess a number into being.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color w:val="2E2A22"/>
          <w:sz w:val="22"/>
          <w:szCs w:val="22"/>
        </w:rPr>
        <w:t xml:space="preserve">This is the opposite of a typical chatbot, which generates confident-sounding text first and may get the facts wrong. On top of that, </w:t>
      </w:r>
      <w:r>
        <w:rPr>
          <w:rFonts w:ascii="Calibri" w:cs="Calibri" w:eastAsia="Calibri" w:hAnsi="Calibri"/>
          <w:b/>
          <w:bCs/>
          <w:color w:val="2E2A22"/>
          <w:sz w:val="22"/>
          <w:szCs w:val="22"/>
        </w:rPr>
        <w:t xml:space="preserve">every AI-written sentence traces back to a specific figure, and every AI request is logged</w:t>
      </w:r>
      <w:r>
        <w:rPr>
          <w:rFonts w:ascii="Calibri" w:cs="Calibri" w:eastAsia="Calibri" w:hAnsi="Calibri"/>
          <w:color w:val="2E2A22"/>
          <w:sz w:val="22"/>
          <w:szCs w:val="22"/>
        </w:rPr>
        <w:t xml:space="preserve"> — so any claim in a report can be checked after the fact. It’s AI you can audit.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B3A5C"/>
          <w:sz w:val="34"/>
          <w:szCs w:val="34"/>
        </w:rPr>
        <w:t xml:space="preserve">The Bottom Line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color w:val="2E2A22"/>
          <w:sz w:val="22"/>
          <w:szCs w:val="22"/>
        </w:rPr>
        <w:t xml:space="preserve">BSA takes a decision that today rests largely on a single broker’s instinct and turns it into a fast, consistent, evidence-backed process — without ever pretending to be more certain than the data allows, and without taking the broker out of the driver’s seat.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For the broker,</w:t>
      </w:r>
      <w:r>
        <w:rPr>
          <w:rFonts w:ascii="Calibri" w:cs="Calibri" w:eastAsia="Calibri" w:hAnsi="Calibri"/>
          <w:color w:val="2E2A22"/>
          <w:sz w:val="22"/>
          <w:szCs w:val="22"/>
        </w:rPr>
        <w:t xml:space="preserve"> it means walking into a client meeting with a professional report and a defensible recommendation in minutes rather than days.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For the client,</w:t>
      </w:r>
      <w:r>
        <w:rPr>
          <w:rFonts w:ascii="Calibri" w:cs="Calibri" w:eastAsia="Calibri" w:hAnsi="Calibri"/>
          <w:color w:val="2E2A22"/>
          <w:sz w:val="22"/>
          <w:szCs w:val="22"/>
        </w:rPr>
        <w:t xml:space="preserve"> it means a location decision backed by real data with its confidence clearly stated — not a hunch.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For Grid,</w:t>
      </w:r>
      <w:r>
        <w:rPr>
          <w:rFonts w:ascii="Calibri" w:cs="Calibri" w:eastAsia="Calibri" w:hAnsi="Calibri"/>
          <w:color w:val="2E2A22"/>
          <w:sz w:val="22"/>
          <w:szCs w:val="22"/>
        </w:rPr>
        <w:t xml:space="preserve"> it means a repeatable, trustworthy product that scales the expertise of its best brokers across every deal.</w:t>
      </w:r>
    </w:p>
    <w:tbl>
      <w:tblPr>
        <w:tblW w:type="dxa" w:w="9360"/>
        <w:tblBorders>
          <w:top w:val="single" w:color="B89B5E" w:sz="2"/>
          <w:left w:val="single" w:color="B89B5E" w:sz="18"/>
          <w:bottom w:val="single" w:color="B89B5E" w:sz="2"/>
          <w:right w:val="single" w:color="B89B5E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F8F1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2"/>
                <w:szCs w:val="22"/>
              </w:rPr>
              <w:t xml:space="preserve">In one line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1"/>
                <w:szCs w:val="21"/>
              </w:rPr>
              <w:t xml:space="preserve">BSA turns the real world around a location into a decision-ready, honestly-labeled answer — and hands it to the broker as a head start, not a replacement.</w:t>
            </w:r>
          </w:p>
        </w:tc>
      </w:tr>
    </w:tbl>
    <w:p>
      <w:pPr>
        <w:spacing w:before="200"/>
      </w:pPr>
      <w:r>
        <w:rPr>
          <w:rFonts w:ascii="Calibri" w:cs="Calibri" w:eastAsia="Calibri" w:hAnsi="Calibri"/>
          <w:i/>
          <w:iCs/>
          <w:color w:val="6B6252"/>
          <w:sz w:val="18"/>
          <w:szCs w:val="18"/>
        </w:rPr>
        <w:t xml:space="preserve">This guide is a plain-language companion to the technical documentation prepared for Grid’s development team. Every figure BSA produces carries its Truth-Layer classification, in keeping with the standard described on page 5.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DCC9" w:sz="4" w:space="6"/>
      </w:pBdr>
      <w:jc w:val="center"/>
    </w:pPr>
    <w:r>
      <w:rPr>
        <w:rFonts w:ascii="Calibri" w:cs="Calibri" w:eastAsia="Calibri" w:hAnsi="Calibri"/>
        <w:color w:val="B7AE9C"/>
        <w:sz w:val="16"/>
        <w:szCs w:val="16"/>
      </w:rPr>
      <w:t xml:space="preserve">Grid Property Ventures  ·  BSA Agency  ·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DCC9" w:sz="4" w:space="6"/>
      </w:pBdr>
      <w:jc w:val="right"/>
    </w:pPr>
    <w:r>
      <w:rPr>
        <w:rFonts w:ascii="Calibri" w:cs="Calibri" w:eastAsia="Calibri" w:hAnsi="Calibri"/>
        <w:color w:val="B7AE9C"/>
        <w:sz w:val="16"/>
        <w:szCs w:val="16"/>
      </w:rPr>
      <w:t xml:space="preserve">Business Site Analysis — How It Works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A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fc5041298baa0016ee38050f6c11763e717b2e7.png"/><Relationship Id="rId10" Type="http://schemas.openxmlformats.org/officeDocument/2006/relationships/image" Target="media/22c225f818e3333a3807009db189960136f39e39.png"/><Relationship Id="rId11" Type="http://schemas.openxmlformats.org/officeDocument/2006/relationships/image" Target="media/1a3da54f7642b733c1ac5e6b1a794fb87a412b39.png"/><Relationship Id="rId12" Type="http://schemas.openxmlformats.org/officeDocument/2006/relationships/image" Target="media/8cd3887435504ebf3e38ee79d8ad7a5028109a6e.png"/><Relationship Id="rId13" Type="http://schemas.openxmlformats.org/officeDocument/2006/relationships/image" Target="media/928f0e5a79c9cc8da43facf461906ced8cad1dc4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Site Analysis (BSA) — How It Works</dc:title>
  <dc:creator>BSA Agency</dc:creator>
  <dc:description>Plain-language guide to the BSA application for leadership and investors</dc:description>
  <cp:lastModifiedBy>Un-named</cp:lastModifiedBy>
  <cp:revision>1</cp:revision>
  <dcterms:created xsi:type="dcterms:W3CDTF">2026-08-10T08:47:16.727Z</dcterms:created>
  <dcterms:modified xsi:type="dcterms:W3CDTF">2026-08-10T08:47:16.727Z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