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312E81"/>
          <w:sz w:val="36"/>
          <w:szCs w:val="36"/>
        </w:rPr>
        <w:t xml:space="preserve">Carease Health — Warehouse (WMS)</w:t>
      </w:r>
    </w:p>
    <w:p>
      <w:pPr>
        <w:spacing w:after="40"/>
      </w:pPr>
      <w:r>
        <w:rPr>
          <w:b/>
          <w:bCs/>
          <w:color w:val="0F172A"/>
          <w:sz w:val="30"/>
          <w:szCs w:val="30"/>
        </w:rPr>
        <w:t xml:space="preserve">Quality-of-Life Updates</w:t>
      </w:r>
    </w:p>
    <w:p>
      <w:pPr>
        <w:spacing w:after="160"/>
      </w:pPr>
      <w:r>
        <w:rPr>
          <w:i/>
          <w:iCs/>
          <w:color w:val="475569"/>
          <w:sz w:val="21"/>
          <w:szCs w:val="21"/>
        </w:rPr>
        <w:t xml:space="preserve">Ease-of-use and presentation improvements · 2026-06-24</w:t>
      </w:r>
    </w:p>
    <w:p>
      <w:pPr>
        <w:pBdr>
          <w:bottom w:val="single" w:color="4F46E5" w:sz="12" w:space="1"/>
        </w:pBdr>
      </w:pPr>
      <w:r>
        <w:t xml:space="preserve"/>
      </w:r>
    </w:p>
    <w:p>
      <w:pPr>
        <w:spacing w:after="60"/>
      </w:pPr>
      <w:r>
        <w:t xml:space="preserve"/>
      </w:r>
    </w:p>
    <w:p>
      <w:pPr>
        <w:spacing w:after="120"/>
      </w:pPr>
      <w:r>
        <w:t xml:space="preserve">These updates make the app easier and nicer to use. They sit on top of the Version 4 features and don't change how anything works — they just make the day-to-day smoother and the prototype more realistic to evaluate.</w:t>
      </w:r>
    </w:p>
    <w:p>
      <w:pPr>
        <w:pStyle w:val="Heading1"/>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312E81" w:val="clear"/>
            <w:tcMar>
              <w:top w:type="dxa" w:w="70"/>
              <w:left w:type="dxa" w:w="110"/>
              <w:bottom w:type="dxa" w:w="70"/>
              <w:right w:type="dxa" w:w="110"/>
            </w:tcMar>
            <w:vAlign w:val="center"/>
          </w:tcPr>
          <w:p>
            <w:r>
              <w:rPr>
                <w:b/>
                <w:bCs/>
                <w:color w:val="FFFFFF"/>
                <w:sz w:val="20"/>
                <w:szCs w:val="20"/>
              </w:rPr>
              <w:t xml:space="preserve">Update</w:t>
            </w:r>
          </w:p>
        </w:tc>
        <w:tc>
          <w:tcPr>
            <w:tcW w:type="dxa" w:w="6240"/>
            <w:tcBorders>
              <w:top w:val="single" w:color="CBD5E1" w:sz="1"/>
              <w:left w:val="single" w:color="CBD5E1" w:sz="1"/>
              <w:bottom w:val="single" w:color="CBD5E1" w:sz="1"/>
              <w:right w:val="single" w:color="CBD5E1" w:sz="1"/>
            </w:tcBorders>
            <w:shd w:fill="312E81" w:val="clear"/>
            <w:tcMar>
              <w:top w:type="dxa" w:w="70"/>
              <w:left w:type="dxa" w:w="110"/>
              <w:bottom w:type="dxa" w:w="70"/>
              <w:right w:type="dxa" w:w="110"/>
            </w:tcMar>
            <w:vAlign w:val="center"/>
          </w:tcPr>
          <w:p>
            <w:r>
              <w:rPr>
                <w:b/>
                <w:bCs/>
                <w:color w:val="FFFFFF"/>
                <w:sz w:val="20"/>
                <w:szCs w:val="20"/>
              </w:rPr>
              <w:t xml:space="preserve">What it means for you</w:t>
            </w:r>
          </w:p>
        </w:tc>
      </w:tr>
      <w:tr>
        <w:trPr>
          <w:tblHeader w:val="false"/>
        </w:trPr>
        <w:tc>
          <w:tcPr>
            <w:tcW w:type="dxa" w:w="312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Notifications</w:t>
            </w:r>
          </w:p>
        </w:tc>
        <w:tc>
          <w:tcPr>
            <w:tcW w:type="dxa" w:w="624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A bell in the top bar shows unread alerts; open it to read them and jump to the right screen.</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vAlign w:val="center"/>
          </w:tcPr>
          <w:p>
            <w:r>
              <w:rPr>
                <w:b w:val="false"/>
                <w:bCs w:val="false"/>
                <w:color w:val="0F172A"/>
                <w:sz w:val="20"/>
                <w:szCs w:val="20"/>
              </w:rPr>
              <w:t xml:space="preserve">Tidier dashboard</w:t>
            </w:r>
          </w:p>
        </w:tc>
        <w:tc>
          <w:tcPr>
            <w:tcW w:type="dxa" w:w="624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vAlign w:val="center"/>
          </w:tcPr>
          <w:p>
            <w:r>
              <w:rPr>
                <w:b w:val="false"/>
                <w:bCs w:val="false"/>
                <w:color w:val="0F172A"/>
                <w:sz w:val="20"/>
                <w:szCs w:val="20"/>
              </w:rPr>
              <w:t xml:space="preserve">The calendar and activity feed now sit side by side and fit on screen without scrolling.</w:t>
            </w:r>
          </w:p>
        </w:tc>
      </w:tr>
      <w:tr>
        <w:trPr>
          <w:tblHeader w:val="false"/>
        </w:trPr>
        <w:tc>
          <w:tcPr>
            <w:tcW w:type="dxa" w:w="312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Order from low stock</w:t>
            </w:r>
          </w:p>
        </w:tc>
        <w:tc>
          <w:tcPr>
            <w:tcW w:type="dxa" w:w="624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Click the Low-stock number to see what's running out and start a purchase order in one click.</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vAlign w:val="center"/>
          </w:tcPr>
          <w:p>
            <w:r>
              <w:rPr>
                <w:b w:val="false"/>
                <w:bCs w:val="false"/>
                <w:color w:val="0F172A"/>
                <w:sz w:val="20"/>
                <w:szCs w:val="20"/>
              </w:rPr>
              <w:t xml:space="preserve">Set asset status</w:t>
            </w:r>
          </w:p>
        </w:tc>
        <w:tc>
          <w:tcPr>
            <w:tcW w:type="dxa" w:w="624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vAlign w:val="center"/>
          </w:tcPr>
          <w:p>
            <w:r>
              <w:rPr>
                <w:b w:val="false"/>
                <w:bCs w:val="false"/>
                <w:color w:val="0F172A"/>
                <w:sz w:val="20"/>
                <w:szCs w:val="20"/>
              </w:rPr>
              <w:t xml:space="preserve">Change the status of carts and equipment right from the Assets page.</w:t>
            </w:r>
          </w:p>
        </w:tc>
      </w:tr>
      <w:tr>
        <w:trPr>
          <w:tblHeader w:val="false"/>
        </w:trPr>
        <w:tc>
          <w:tcPr>
            <w:tcW w:type="dxa" w:w="312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Open any file</w:t>
            </w:r>
          </w:p>
        </w:tc>
        <w:tc>
          <w:tcPr>
            <w:tcW w:type="dxa" w:w="624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Click a floor plan, BOL, or proof-of-delivery to view it and save it as a PDF.</w:t>
            </w:r>
          </w:p>
        </w:tc>
      </w:tr>
      <w:tr>
        <w:trPr>
          <w:tblHeader w:val="false"/>
        </w:trP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vAlign w:val="center"/>
          </w:tcPr>
          <w:p>
            <w:r>
              <w:rPr>
                <w:b w:val="false"/>
                <w:bCs w:val="false"/>
                <w:color w:val="0F172A"/>
                <w:sz w:val="20"/>
                <w:szCs w:val="20"/>
              </w:rPr>
              <w:t xml:space="preserve">Real shipping labels</w:t>
            </w:r>
          </w:p>
        </w:tc>
        <w:tc>
          <w:tcPr>
            <w:tcW w:type="dxa" w:w="624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vAlign w:val="center"/>
          </w:tcPr>
          <w:p>
            <w:r>
              <w:rPr>
                <w:b w:val="false"/>
                <w:bCs w:val="false"/>
                <w:color w:val="0F172A"/>
                <w:sz w:val="20"/>
                <w:szCs w:val="20"/>
              </w:rPr>
              <w:t xml:space="preserve">Print courier-style labels with a scannable QR code; tick which ones to print.</w:t>
            </w:r>
          </w:p>
        </w:tc>
      </w:tr>
      <w:tr>
        <w:trPr>
          <w:tblHeader w:val="false"/>
        </w:trPr>
        <w:tc>
          <w:tcPr>
            <w:tcW w:type="dxa" w:w="312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Vendor Bills</w:t>
            </w:r>
          </w:p>
        </w:tc>
        <w:tc>
          <w:tcPr>
            <w:tcW w:type="dxa" w:w="6240"/>
            <w:tcBorders>
              <w:top w:val="single" w:color="CBD5E1" w:sz="1"/>
              <w:left w:val="single" w:color="CBD5E1" w:sz="1"/>
              <w:bottom w:val="single" w:color="CBD5E1" w:sz="1"/>
              <w:right w:val="single" w:color="CBD5E1" w:sz="1"/>
            </w:tcBorders>
            <w:tcMar>
              <w:top w:type="dxa" w:w="70"/>
              <w:left w:type="dxa" w:w="110"/>
              <w:bottom w:type="dxa" w:w="70"/>
              <w:right w:type="dxa" w:w="110"/>
            </w:tcMar>
            <w:vAlign w:val="center"/>
          </w:tcPr>
          <w:p>
            <w:r>
              <w:rPr>
                <w:b w:val="false"/>
                <w:bCs w:val="false"/>
                <w:color w:val="0F172A"/>
                <w:sz w:val="20"/>
                <w:szCs w:val="20"/>
              </w:rPr>
              <w:t xml:space="preserve">“Zoho” is gone; vendor bills are now simply called Vendor Bills.</w:t>
            </w:r>
          </w:p>
        </w:tc>
      </w:tr>
    </w:tbl>
    <w:p>
      <w:pPr>
        <w:pStyle w:val="Heading1"/>
      </w:pPr>
      <w:r>
        <w:t xml:space="preserve">Notifications</w:t>
      </w:r>
    </w:p>
    <w:p>
      <w:pPr>
        <w:pStyle w:val="ListParagraph"/>
        <w:numPr>
          <w:ilvl w:val="0"/>
          <w:numId w:val="2"/>
        </w:numPr>
        <w:spacing w:after="90"/>
      </w:pPr>
      <w:r>
        <w:rPr>
          <w:b/>
          <w:bCs/>
        </w:rPr>
        <w:t xml:space="preserve">Notification bell — </w:t>
      </w:r>
      <w:r>
        <w:t xml:space="preserve">a bell icon in the top-right shows a red count of unread alerts.</w:t>
      </w:r>
    </w:p>
    <w:p>
      <w:pPr>
        <w:pStyle w:val="ListParagraph"/>
        <w:numPr>
          <w:ilvl w:val="0"/>
          <w:numId w:val="2"/>
        </w:numPr>
        <w:spacing w:after="90"/>
      </w:pPr>
      <w:r>
        <w:rPr>
          <w:b/>
          <w:bCs/>
        </w:rPr>
        <w:t xml:space="preserve">One place for alerts — </w:t>
      </w:r>
      <w:r>
        <w:t xml:space="preserve">click it to see everything — low stock, deposits pending, cart shipments, back orders ready, returns, uploads, new onboardings, and more.</w:t>
      </w:r>
    </w:p>
    <w:p>
      <w:pPr>
        <w:pStyle w:val="ListParagraph"/>
        <w:numPr>
          <w:ilvl w:val="0"/>
          <w:numId w:val="2"/>
        </w:numPr>
        <w:spacing w:after="90"/>
      </w:pPr>
      <w:r>
        <w:rPr>
          <w:b/>
          <w:bCs/>
        </w:rPr>
        <w:t xml:space="preserve">Act on them — </w:t>
      </w:r>
      <w:r>
        <w:t xml:space="preserve">mark a notification read (or mark all read), and use “Go to area” to jump straight to the related screen.</w:t>
      </w:r>
    </w:p>
    <w:p>
      <w:pPr>
        <w:pStyle w:val="Heading1"/>
      </w:pPr>
      <w:r>
        <w:t xml:space="preserve">Dashboard layout</w:t>
      </w:r>
    </w:p>
    <w:p>
      <w:pPr>
        <w:pStyle w:val="ListParagraph"/>
        <w:numPr>
          <w:ilvl w:val="0"/>
          <w:numId w:val="2"/>
        </w:numPr>
        <w:spacing w:after="90"/>
      </w:pPr>
      <w:r>
        <w:rPr>
          <w:b/>
          <w:bCs/>
        </w:rPr>
        <w:t xml:space="preserve">Fits on one screen — </w:t>
      </w:r>
      <w:r>
        <w:t xml:space="preserve">the calendar now sits on the left with the Activity Tracker and the cart-fulfillment steps on the right, so you see everything when you land — no scrolling.</w:t>
      </w:r>
    </w:p>
    <w:p>
      <w:pPr>
        <w:pStyle w:val="ListParagraph"/>
        <w:numPr>
          <w:ilvl w:val="0"/>
          <w:numId w:val="2"/>
        </w:numPr>
        <w:spacing w:after="90"/>
      </w:pPr>
      <w:r>
        <w:rPr>
          <w:b/>
          <w:bCs/>
        </w:rPr>
        <w:t xml:space="preserve">New-activity markers — </w:t>
      </w:r>
      <w:r>
        <w:t xml:space="preserve">calendar days with new events show a red “!”, and the Activity Tracker flags what's new, so nothing slips past.</w:t>
      </w:r>
    </w:p>
    <w:p>
      <w:pPr>
        <w:pStyle w:val="Heading1"/>
      </w:pPr>
      <w:r>
        <w:t xml:space="preserve">Inventory → ordering</w:t>
      </w:r>
    </w:p>
    <w:p>
      <w:pPr>
        <w:pStyle w:val="ListParagraph"/>
        <w:numPr>
          <w:ilvl w:val="0"/>
          <w:numId w:val="2"/>
        </w:numPr>
        <w:spacing w:after="90"/>
      </w:pPr>
      <w:r>
        <w:rPr>
          <w:b/>
          <w:bCs/>
        </w:rPr>
        <w:t xml:space="preserve">Low-stock shortcut — </w:t>
      </w:r>
      <w:r>
        <w:t xml:space="preserve">click the Low-stock figure at the top of Inventory to open a list of items at or below their threshold, with a suggested order quantity.</w:t>
      </w:r>
    </w:p>
    <w:p>
      <w:pPr>
        <w:pStyle w:val="ListParagraph"/>
        <w:numPr>
          <w:ilvl w:val="0"/>
          <w:numId w:val="2"/>
        </w:numPr>
        <w:spacing w:after="90"/>
      </w:pPr>
      <w:r>
        <w:rPr>
          <w:b/>
          <w:bCs/>
        </w:rPr>
        <w:t xml:space="preserve">One-click reorder — </w:t>
      </w:r>
      <w:r>
        <w:t xml:space="preserve">“Order more” (or “Order all low stock”) opens a new Purchase Order already filled with those items, so you can keep facilities supplied quickly.</w:t>
      </w:r>
    </w:p>
    <w:p>
      <w:pPr>
        <w:pStyle w:val="Heading1"/>
      </w:pPr>
      <w:r>
        <w:t xml:space="preserve">Assets</w:t>
      </w:r>
    </w:p>
    <w:p>
      <w:pPr>
        <w:pStyle w:val="ListParagraph"/>
        <w:numPr>
          <w:ilvl w:val="0"/>
          <w:numId w:val="2"/>
        </w:numPr>
        <w:spacing w:after="90"/>
      </w:pPr>
      <w:r>
        <w:rPr>
          <w:b/>
          <w:bCs/>
        </w:rPr>
        <w:t xml:space="preserve">Change status — </w:t>
      </w:r>
      <w:r>
        <w:t xml:space="preserve">the Warehouse Manager can set the status of carts, tracked equipment, and facility/user assets right from the Assets page (e.g. Available, In repair, Returned, Retired).</w:t>
      </w:r>
    </w:p>
    <w:p>
      <w:pPr>
        <w:pStyle w:val="ListParagraph"/>
        <w:numPr>
          <w:ilvl w:val="0"/>
          <w:numId w:val="2"/>
        </w:numPr>
        <w:spacing w:after="90"/>
      </w:pPr>
      <w:r>
        <w:rPr>
          <w:b/>
          <w:bCs/>
        </w:rPr>
        <w:t xml:space="preserve">Tracked in activity — </w:t>
      </w:r>
      <w:r>
        <w:t xml:space="preserve">status changes are recorded in the dashboard Activity Tracker.</w:t>
      </w:r>
    </w:p>
    <w:p>
      <w:pPr>
        <w:pStyle w:val="Heading1"/>
      </w:pPr>
      <w:r>
        <w:t xml:space="preserve">Files &amp; shipping labels</w:t>
      </w:r>
    </w:p>
    <w:p>
      <w:pPr>
        <w:pStyle w:val="ListParagraph"/>
        <w:numPr>
          <w:ilvl w:val="0"/>
          <w:numId w:val="2"/>
        </w:numPr>
        <w:spacing w:after="90"/>
      </w:pPr>
      <w:r>
        <w:rPr>
          <w:b/>
          <w:bCs/>
        </w:rPr>
        <w:t xml:space="preserve">Viewable documents — </w:t>
      </w:r>
      <w:r>
        <w:t xml:space="preserve">clicking a floor plan, Bill of Lading, or proof-of-delivery opens a realistic page you can read and Print / Save as PDF.</w:t>
      </w:r>
    </w:p>
    <w:p>
      <w:pPr>
        <w:pStyle w:val="ListParagraph"/>
        <w:numPr>
          <w:ilvl w:val="0"/>
          <w:numId w:val="2"/>
        </w:numPr>
        <w:spacing w:after="90"/>
      </w:pPr>
      <w:r>
        <w:rPr>
          <w:b/>
          <w:bCs/>
        </w:rPr>
        <w:t xml:space="preserve">Courier shipping labels — </w:t>
      </w:r>
      <w:r>
        <w:t xml:space="preserve">“Shipping labels” produces real-style FedEx / UPS / USPS / Freight labels with a scannable QR code, tracking number, weight, and barcode.</w:t>
      </w:r>
    </w:p>
    <w:p>
      <w:pPr>
        <w:pStyle w:val="ListParagraph"/>
        <w:numPr>
          <w:ilvl w:val="0"/>
          <w:numId w:val="2"/>
        </w:numPr>
        <w:spacing w:after="90"/>
      </w:pPr>
      <w:r>
        <w:rPr>
          <w:b/>
          <w:bCs/>
        </w:rPr>
        <w:t xml:space="preserve">Choose what to print — </w:t>
      </w:r>
      <w:r>
        <w:t xml:space="preserve">tick the labels you want and print only those, or print them all; a search box finds a label by name, facility, order number, or carrier.</w:t>
      </w:r>
    </w:p>
    <w:p>
      <w:pPr>
        <w:pStyle w:val="Heading1"/>
      </w:pPr>
      <w:r>
        <w:t xml:space="preserve">Smaller touches</w:t>
      </w:r>
    </w:p>
    <w:p>
      <w:pPr>
        <w:pStyle w:val="ListParagraph"/>
        <w:numPr>
          <w:ilvl w:val="0"/>
          <w:numId w:val="2"/>
        </w:numPr>
        <w:spacing w:after="90"/>
      </w:pPr>
      <w:r>
        <w:rPr>
          <w:b/>
          <w:bCs/>
        </w:rPr>
        <w:t xml:space="preserve">Purchase Order “Back” — </w:t>
      </w:r>
      <w:r>
        <w:t xml:space="preserve">editing a PO now has a Back button that returns you to the order's detail instead of closing everything.</w:t>
      </w:r>
    </w:p>
    <w:p>
      <w:pPr>
        <w:pStyle w:val="ListParagraph"/>
        <w:numPr>
          <w:ilvl w:val="0"/>
          <w:numId w:val="2"/>
        </w:numPr>
        <w:spacing w:after="90"/>
      </w:pPr>
      <w:r>
        <w:rPr>
          <w:b/>
          <w:bCs/>
        </w:rPr>
        <w:t xml:space="preserve">More to explore — </w:t>
      </w:r>
      <w:r>
        <w:t xml:space="preserve">every page now has sample data — notifications, recent activity, returns, vendor bills, and extra products — so the whole prototype can be evaluated end to end.</w:t>
      </w:r>
    </w:p>
    <w:p>
      <w:pPr>
        <w:spacing w:after="60"/>
      </w:pPr>
      <w:r>
        <w:t xml:space="preserve"/>
      </w:r>
    </w:p>
    <w:p>
      <w:pPr>
        <w:spacing w:after="120"/>
      </w:pPr>
      <w:r>
        <w:rPr>
          <w:i/>
          <w:iCs/>
          <w:color w:val="475569"/>
          <w:sz w:val="20"/>
          <w:szCs w:val="20"/>
        </w:rPr>
        <w:t xml:space="preserve">Reminder: this is a hands-on demo. Your changes live in the open browser tab and reset when you close it (or via “Reset demo data”). Address lookup uses OpenStreetMap here and would use Google Maps in production.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2"/>
      </w:pBdr>
    </w:pPr>
    <w:r>
      <w:rPr>
        <w:color w:val="475569"/>
        <w:sz w:val="16"/>
        <w:szCs w:val="16"/>
      </w:rPr>
      <w:t xml:space="preserve">Carease Health — Warehouse (WMS) · Quality-of-Life Updates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D2FE" w:sz="8" w:space="2"/>
      </w:pBdr>
      <w:spacing w:after="120" w:before="240"/>
      <w:outlineLvl w:val="0"/>
    </w:pPr>
    <w:rPr>
      <w:rFonts w:ascii="Arial" w:cs="Arial" w:eastAsia="Arial" w:hAnsi="Arial"/>
      <w:b/>
      <w:bCs/>
      <w:color w:val="312E81"/>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2026-06-24T15:59:41.615Z</dcterms:created>
  <dcterms:modified xsi:type="dcterms:W3CDTF">2026-06-24T15:59:41.615Z</dcterms:modified>
</cp:coreProperties>
</file>

<file path=docProps/custom.xml><?xml version="1.0" encoding="utf-8"?>
<Properties xmlns="http://schemas.openxmlformats.org/officeDocument/2006/custom-properties" xmlns:vt="http://schemas.openxmlformats.org/officeDocument/2006/docPropsVTypes"/>
</file>