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312E81"/>
          <w:sz w:val="36"/>
          <w:szCs w:val="36"/>
        </w:rPr>
        <w:t xml:space="preserve">Carease Health — Warehouse (WMS)</w:t>
      </w:r>
    </w:p>
    <w:p>
      <w:pPr>
        <w:spacing w:after="40"/>
      </w:pPr>
      <w:r>
        <w:rPr>
          <w:b/>
          <w:bCs/>
          <w:color w:val="0F172A"/>
          <w:sz w:val="30"/>
          <w:szCs w:val="30"/>
        </w:rPr>
        <w:t xml:space="preserve">Version 4 — Change Analysis &amp; Implementation Plan</w:t>
      </w:r>
    </w:p>
    <w:p>
      <w:pPr>
        <w:spacing w:after="160"/>
      </w:pPr>
      <w:r>
        <w:rPr>
          <w:i/>
          <w:iCs/>
          <w:color w:val="475569"/>
          <w:sz w:val="21"/>
          <w:szCs w:val="21"/>
        </w:rPr>
        <w:t xml:space="preserve">Based on the supervisor's comments on Version 3 · Prepared 2026-06-24 · For approval before development</w:t>
      </w:r>
    </w:p>
    <w:p>
      <w:pPr>
        <w:pBdr>
          <w:bottom w:val="single" w:color="4F46E5" w:sz="12" w:space="1"/>
        </w:pBdr>
      </w:pPr>
      <w:r>
        <w:t xml:space="preserve"/>
      </w:r>
    </w:p>
    <w:p>
      <w:pPr>
        <w:spacing w:after="60"/>
      </w:pPr>
      <w:r>
        <w:t xml:space="preserve"/>
      </w:r>
    </w:p>
    <w:p>
      <w:pPr>
        <w:spacing w:after="120"/>
      </w:pPr>
      <w:r>
        <w:t xml:space="preserve">This document analyzes the supervisor's Version 3 feedback against the current code, separates simple fixes from a foundational data-model change, flags items that reverse previously approved work, lists the design decisions still needed, and proposes a phased build plan. No code has been changed yet — this plan is for sign-off first.</w:t>
      </w:r>
    </w:p>
    <w:p>
      <w:pPr>
        <w:pStyle w:val="Heading1"/>
      </w:pPr>
      <w:r>
        <w:t xml:space="preserve">1. Executive summary</w:t>
      </w:r>
    </w:p>
    <w:p>
      <w:pPr>
        <w:spacing w:after="120"/>
      </w:pPr>
      <w:r>
        <w:rPr>
          <w:b/>
          <w:bCs/>
        </w:rPr>
        <w:t xml:space="preserve">The keystone change is a data model change, not a tweak. </w:t>
      </w:r>
      <w:r>
        <w:t xml:space="preserve">The supervisor wants three explicit item kinds — Single, Group, and Assembly — and a cleaner asset rule: parts in inventory are not assets; an Assembly becomes one tracked asset when it is assembled; and an asset-flagged Single becomes a tracked asset only when shipped out on its own. Today the app keeps items, groups, and assembled carts in three separate places, infers “asset” from a fixed item-type flag, and creates tracked assets at PO receive. Realigning to the supervisor's model touches Inventory, Assets, Purchase Orders, Sales Orders, and Returns.</w:t>
      </w:r>
    </w:p>
    <w:p>
      <w:pPr>
        <w:spacing w:after="120"/>
      </w:pPr>
      <w:r>
        <w:rPr>
          <w:b/>
          <w:bCs/>
        </w:rPr>
        <w:t xml:space="preserve">Most other requests depend on this foundation. </w:t>
      </w:r>
      <w:r>
        <w:t xml:space="preserve">Assembly build screens, auto-filled asset fields, and “pick which built unit to ship” on a Sales Order all require the new model. A handful of items are independent quick wins and can ship first.</w:t>
      </w:r>
    </w:p>
    <w:p>
      <w:pPr>
        <w:spacing w:after="120"/>
      </w:pPr>
      <w:r>
        <w:rPr>
          <w:b/>
          <w:bCs/>
        </w:rPr>
        <w:t xml:space="preserve">Two items reverse approved V3 work </w:t>
      </w:r>
      <w:r>
        <w:t xml:space="preserve">(noted in section 4): the multiple-vendors-on-one-PO feature is to be removed, and tracked-asset creation moves from PO receive to ship-out/assembly. Both are confirmed by the supervisor.</w:t>
      </w:r>
    </w:p>
    <w:p>
      <w:pPr>
        <w:pStyle w:val="Heading1"/>
      </w:pPr>
      <w:r>
        <w:t xml:space="preserve">2. The foundational change — Item Types &amp; asset model</w:t>
      </w:r>
    </w:p>
    <w:p>
      <w:pPr>
        <w:pStyle w:val="Heading2"/>
      </w:pPr>
      <w:r>
        <w:t xml:space="preserve">2.1 The three kinds</w:t>
      </w:r>
    </w:p>
    <w:p>
      <w:pPr>
        <w:pStyle w:val="ListParagraph"/>
        <w:numPr>
          <w:ilvl w:val="0"/>
          <w:numId w:val="2"/>
        </w:numPr>
        <w:spacing w:after="70"/>
      </w:pPr>
      <w:r>
        <w:rPr>
          <w:b/>
          <w:bCs/>
        </w:rPr>
        <w:t xml:space="preserve">Single — </w:t>
      </w:r>
      <w:r>
        <w:t xml:space="preserve">one item (laptop, tablet, cable). May be flagged a tracked asset. Asset-flagged Singles (e.g. laptop, gameshow, tablet) become a tracked asset only when shipped out solo to an employee. A cable is not an asset.</w:t>
      </w:r>
    </w:p>
    <w:p>
      <w:pPr>
        <w:pStyle w:val="ListParagraph"/>
        <w:numPr>
          <w:ilvl w:val="0"/>
          <w:numId w:val="2"/>
        </w:numPr>
        <w:spacing w:after="70"/>
      </w:pPr>
      <w:r>
        <w:rPr>
          <w:b/>
          <w:bCs/>
        </w:rPr>
        <w:t xml:space="preserve">Group — </w:t>
      </w:r>
      <w:r>
        <w:t xml:space="preserve">a bundle ordered/shipped together; never an asset; may contain Singles and other Groups. One scaling line on both PO and SO.</w:t>
      </w:r>
    </w:p>
    <w:p>
      <w:pPr>
        <w:pStyle w:val="ListParagraph"/>
        <w:numPr>
          <w:ilvl w:val="0"/>
          <w:numId w:val="2"/>
        </w:numPr>
        <w:spacing w:after="70"/>
      </w:pPr>
      <w:r>
        <w:rPr>
          <w:b/>
          <w:bCs/>
        </w:rPr>
        <w:t xml:space="preserve">Assembly — </w:t>
      </w:r>
      <w:r>
        <w:t xml:space="preserve">parts built into one tracked unit (a cart). Always an asset once assembled. Composed of Groups + Singles.</w:t>
      </w:r>
    </w:p>
    <w:p>
      <w:pPr>
        <w:pStyle w:val="Heading2"/>
      </w:pPr>
      <w:r>
        <w:t xml:space="preserve">2.2 The asset rule (in plain terms)</w:t>
      </w:r>
    </w:p>
    <w:p>
      <w:pPr>
        <w:pStyle w:val="ListParagraph"/>
        <w:numPr>
          <w:ilvl w:val="0"/>
          <w:numId w:val="2"/>
        </w:numPr>
        <w:spacing w:after="70"/>
      </w:pPr>
      <w:r>
        <w:t xml:space="preserve">Parts sitting in inventory are not assets. Ordering 20 of each cart part and assembling 10 carts leaves 10 assembled carts (assets) plus 10 of each remaining part still in inventory.</w:t>
      </w:r>
    </w:p>
    <w:p>
      <w:pPr>
        <w:pStyle w:val="ListParagraph"/>
        <w:numPr>
          <w:ilvl w:val="0"/>
          <w:numId w:val="2"/>
        </w:numPr>
        <w:spacing w:after="70"/>
      </w:pPr>
      <w:r>
        <w:t xml:space="preserve">Marking an Assembly “assembled” removes its parts from inventory and creates exactly one asset, with the landed cost carried onto that asset.</w:t>
      </w:r>
    </w:p>
    <w:p>
      <w:pPr>
        <w:pStyle w:val="ListParagraph"/>
        <w:numPr>
          <w:ilvl w:val="0"/>
          <w:numId w:val="2"/>
        </w:numPr>
        <w:spacing w:after="70"/>
      </w:pPr>
      <w:r>
        <w:t xml:space="preserve">A tablet inside an assembled cart is part of that cart's asset record — it does not become its own separate asset.</w:t>
      </w:r>
    </w:p>
    <w:p>
      <w:pPr>
        <w:pStyle w:val="Heading2"/>
      </w:pPr>
      <w:r>
        <w:t xml:space="preserve">2.3 Asset lifecycle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Item</w:t>
            </w:r>
          </w:p>
        </w:tc>
        <w:tc>
          <w:tcPr>
            <w:tcW w:type="dxa" w:w="3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When it becomes an asset</w:t>
            </w:r>
          </w:p>
        </w:tc>
        <w:tc>
          <w:tcPr>
            <w:tcW w:type="dxa" w:w="3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Then</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Single (asset-flagged)</w:t>
            </w:r>
          </w:p>
        </w:tc>
        <w:tc>
          <w:tcPr>
            <w:tcW w:type="dxa" w:w="3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On solo ship-out to an employee</w:t>
            </w:r>
          </w:p>
        </w:tc>
        <w:tc>
          <w:tcPr>
            <w:tcW w:type="dxa" w:w="3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Tracked asset, assigned to that employee</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Single inside an assembly</w:t>
            </w:r>
          </w:p>
        </w:tc>
        <w:tc>
          <w:tcPr>
            <w:tcW w:type="dxa" w:w="3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Never (consumed into the cart)</w:t>
            </w:r>
          </w:p>
        </w:tc>
        <w:tc>
          <w:tcPr>
            <w:tcW w:type="dxa" w:w="3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Counted only in the cart's record</w:t>
            </w:r>
          </w:p>
        </w:tc>
      </w:tr>
      <w:tr>
        <w:trPr>
          <w:tblHeader w:val="false"/>
        </w:trPr>
        <w:tc>
          <w:tcPr>
            <w:tcW w:type="dxa" w:w="24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Assembly (cart)</w:t>
            </w:r>
          </w:p>
        </w:tc>
        <w:tc>
          <w:tcPr>
            <w:tcW w:type="dxa" w:w="3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When marked assembled</w:t>
            </w:r>
          </w:p>
        </w:tc>
        <w:tc>
          <w:tcPr>
            <w:tcW w:type="dxa" w:w="3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One tracked asset in warehouse → shipped via SO (pick the unit) → assigned to a facility/regional at ship-out → returnable</w:t>
            </w:r>
          </w:p>
        </w:tc>
      </w:tr>
    </w:tbl>
    <w:p>
      <w:pPr>
        <w:pStyle w:val="Heading1"/>
        <w:pageBreakBefore/>
      </w:pPr>
      <w:r>
        <w:t xml:space="preserve">3. Change register</w:t>
      </w:r>
    </w:p>
    <w:p>
      <w:pPr>
        <w:spacing w:after="120"/>
      </w:pPr>
      <w:r>
        <w:rPr>
          <w:i/>
          <w:iCs/>
          <w:color w:val="475569"/>
          <w:sz w:val="20"/>
          <w:szCs w:val="20"/>
        </w:rPr>
        <w:t xml:space="preserve">Flag legend: “Reverses V3” undoes approved work · “Bug/Real/Needs” = correction or open design · “Aligned” = already satisfied. Ph = phase (section 6). Size: S/M/L.</w:t>
      </w:r>
    </w:p>
    <w:p>
      <w:pPr>
        <w:pStyle w:val="Heading2"/>
      </w:pPr>
      <w:r>
        <w:t xml:space="preserve">3.1 Foundational — 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480"/>
        <w:gridCol w:w="1100"/>
        <w:gridCol w:w="520"/>
        <w:gridCol w:w="560"/>
        <w:gridCol w:w="500"/>
      </w:tblGrid>
      <w:tr>
        <w:trPr>
          <w:tblHeader/>
        </w:trPr>
        <w:tc>
          <w:tcPr>
            <w:tcW w:type="dxa" w:w="9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ID</w:t>
            </w:r>
          </w:p>
        </w:tc>
        <w:tc>
          <w:tcPr>
            <w:tcW w:type="dxa" w:w="23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Request</w:t>
            </w:r>
          </w:p>
        </w:tc>
        <w:tc>
          <w:tcPr>
            <w:tcW w:type="dxa" w:w="2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Current → required</w:t>
            </w:r>
          </w:p>
        </w:tc>
        <w:tc>
          <w:tcPr>
            <w:tcW w:type="dxa" w:w="11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Flag</w:t>
            </w:r>
          </w:p>
        </w:tc>
        <w:tc>
          <w:tcPr>
            <w:tcW w:type="dxa" w:w="52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Ph</w:t>
            </w:r>
          </w:p>
        </w:tc>
        <w:tc>
          <w:tcPr>
            <w:tcW w:type="dxa" w:w="56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Size</w:t>
            </w:r>
          </w:p>
        </w:tc>
        <w:tc>
          <w:tcPr>
            <w:tcW w:type="dxa" w:w="5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IT-1</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Single/Group/Assembly at add time</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Add modal Single/Group only → add Assembly kind</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Foundational</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P1</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L</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IT-2</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Single can be flagged tracked asset</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Inferred from item-type → explicit per-Single flag</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Model</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P1</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IT-3</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Asset single → asset on solo ship-out</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Minted at PO receive → mint at ship-out</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9F1239"/>
                <w:sz w:val="18"/>
                <w:szCs w:val="18"/>
              </w:rPr>
              <w:t xml:space="preserve">Reverses V3</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P3</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IT-4</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Tablet in cart is not its own asset</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Parts consumed into cart (ok) → keep</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166534"/>
                <w:sz w:val="18"/>
                <w:szCs w:val="18"/>
              </w:rPr>
              <w:t xml:space="preserve">Aligned</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IT-5</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Assemble removes parts, makes 1 asset</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assembleCart consumes parts → recast as Assembly asset</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166534"/>
                <w:sz w:val="18"/>
                <w:szCs w:val="18"/>
              </w:rPr>
              <w:t xml:space="preserve">Aligned*</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bl>
    <w:p>
      <w:pPr>
        <w:pStyle w:val="Heading2"/>
      </w:pPr>
      <w:r>
        <w:t xml:space="preserve">3.2 Assemblies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480"/>
        <w:gridCol w:w="1100"/>
        <w:gridCol w:w="520"/>
        <w:gridCol w:w="560"/>
        <w:gridCol w:w="500"/>
      </w:tblGrid>
      <w:tr>
        <w:trPr>
          <w:tblHeader/>
        </w:trPr>
        <w:tc>
          <w:tcPr>
            <w:tcW w:type="dxa" w:w="9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ID</w:t>
            </w:r>
          </w:p>
        </w:tc>
        <w:tc>
          <w:tcPr>
            <w:tcW w:type="dxa" w:w="23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Request</w:t>
            </w:r>
          </w:p>
        </w:tc>
        <w:tc>
          <w:tcPr>
            <w:tcW w:type="dxa" w:w="2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Current → required</w:t>
            </w:r>
          </w:p>
        </w:tc>
        <w:tc>
          <w:tcPr>
            <w:tcW w:type="dxa" w:w="11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Flag</w:t>
            </w:r>
          </w:p>
        </w:tc>
        <w:tc>
          <w:tcPr>
            <w:tcW w:type="dxa" w:w="52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Ph</w:t>
            </w:r>
          </w:p>
        </w:tc>
        <w:tc>
          <w:tcPr>
            <w:tcW w:type="dxa" w:w="56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Size</w:t>
            </w:r>
          </w:p>
        </w:tc>
        <w:tc>
          <w:tcPr>
            <w:tcW w:type="dxa" w:w="5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AS-1</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Cart types EDAN/VS8/Accutor, editable</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Hardcoded types → managed type list</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AS-2</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Build screen shows group items too</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Singles only → groups + singles</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AS-3</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Auto-fill asset fields from composition</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None → mapping from group makeup</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92400E"/>
                <w:sz w:val="18"/>
                <w:szCs w:val="18"/>
              </w:rPr>
              <w:t xml:space="preserve">Needs design</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L</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AS-4</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Cart Code mandatory; carry asset info</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Optional code; no fields → required + field set</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AS-5</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Facility/Regional fill at ship-out</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Assigned outside SO → deferred to ship</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P3</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AS-6</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Edit an assembly after build</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None → add edit</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AS-7</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Landed cost carries to assembly</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FIFO partial → ensure landed rides out</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166534"/>
                <w:sz w:val="18"/>
                <w:szCs w:val="18"/>
              </w:rPr>
              <w:t xml:space="preserve">Aligned*</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P2</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bl>
    <w:p>
      <w:pPr>
        <w:pStyle w:val="Heading2"/>
      </w:pPr>
      <w:r>
        <w:t xml:space="preserve">3.3 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480"/>
        <w:gridCol w:w="1100"/>
        <w:gridCol w:w="520"/>
        <w:gridCol w:w="560"/>
        <w:gridCol w:w="500"/>
      </w:tblGrid>
      <w:tr>
        <w:trPr>
          <w:tblHeader/>
        </w:trPr>
        <w:tc>
          <w:tcPr>
            <w:tcW w:type="dxa" w:w="9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ID</w:t>
            </w:r>
          </w:p>
        </w:tc>
        <w:tc>
          <w:tcPr>
            <w:tcW w:type="dxa" w:w="23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Request</w:t>
            </w:r>
          </w:p>
        </w:tc>
        <w:tc>
          <w:tcPr>
            <w:tcW w:type="dxa" w:w="2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Current → required</w:t>
            </w:r>
          </w:p>
        </w:tc>
        <w:tc>
          <w:tcPr>
            <w:tcW w:type="dxa" w:w="11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Flag</w:t>
            </w:r>
          </w:p>
        </w:tc>
        <w:tc>
          <w:tcPr>
            <w:tcW w:type="dxa" w:w="52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Ph</w:t>
            </w:r>
          </w:p>
        </w:tc>
        <w:tc>
          <w:tcPr>
            <w:tcW w:type="dxa" w:w="56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Size</w:t>
            </w:r>
          </w:p>
        </w:tc>
        <w:tc>
          <w:tcPr>
            <w:tcW w:type="dxa" w:w="5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PO-1</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Group = one scaling line (like SO)</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Expands to many lines → single group line</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92400E"/>
                <w:sz w:val="18"/>
                <w:szCs w:val="18"/>
              </w:rPr>
              <w:t xml:space="preserve">Bug</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PO-2</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Hide Record Deposit after recorded</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Always shows → hide once recorded</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Small</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PO-3</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Deposit % wrong (100% of $350 = $100)</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Math ok; no vendor edit → fix via Manage Vendors + drive % from vendor</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92400E"/>
                <w:sz w:val="18"/>
                <w:szCs w:val="18"/>
              </w:rPr>
              <w:t xml:space="preserve">Real</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PO-4</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Manage Vendors (edit terms)</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Add only → add edit</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New</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PO-5</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No new payment when fully paid</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Always → hide when remaining ≤ 0</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Small</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bl>
    <w:p>
      <w:pPr>
        <w:pStyle w:val="Heading2"/>
      </w:pPr>
      <w:r>
        <w:t xml:space="preserve">3.4 Inventory &amp; Sales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480"/>
        <w:gridCol w:w="1100"/>
        <w:gridCol w:w="520"/>
        <w:gridCol w:w="560"/>
        <w:gridCol w:w="500"/>
      </w:tblGrid>
      <w:tr>
        <w:trPr>
          <w:tblHeader/>
        </w:trPr>
        <w:tc>
          <w:tcPr>
            <w:tcW w:type="dxa" w:w="9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ID</w:t>
            </w:r>
          </w:p>
        </w:tc>
        <w:tc>
          <w:tcPr>
            <w:tcW w:type="dxa" w:w="23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Request</w:t>
            </w:r>
          </w:p>
        </w:tc>
        <w:tc>
          <w:tcPr>
            <w:tcW w:type="dxa" w:w="248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Current → required</w:t>
            </w:r>
          </w:p>
        </w:tc>
        <w:tc>
          <w:tcPr>
            <w:tcW w:type="dxa" w:w="11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Flag</w:t>
            </w:r>
          </w:p>
        </w:tc>
        <w:tc>
          <w:tcPr>
            <w:tcW w:type="dxa" w:w="52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Ph</w:t>
            </w:r>
          </w:p>
        </w:tc>
        <w:tc>
          <w:tcPr>
            <w:tcW w:type="dxa" w:w="56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Size</w:t>
            </w:r>
          </w:p>
        </w:tc>
        <w:tc>
          <w:tcPr>
            <w:tcW w:type="dxa" w:w="5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INV-1</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Pin column header on scroll</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Not sticky → sticky header</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Quick win</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SO-1</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Ship a specific asset/assembly unit</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No unit picker → pick available built unit/asset</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Depends</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P4</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L</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SO-2</w:t>
            </w:r>
          </w:p>
        </w:tc>
        <w:tc>
          <w:tcPr>
            <w:tcW w:type="dxa" w:w="23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Remove multiple-vendors-on-PO</w:t>
            </w:r>
          </w:p>
        </w:tc>
        <w:tc>
          <w:tcPr>
            <w:tcW w:type="dxa" w:w="248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Built+verified V3 → remove entirely</w:t>
            </w:r>
          </w:p>
        </w:tc>
        <w:tc>
          <w:tcPr>
            <w:tcW w:type="dxa" w:w="11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9F1239"/>
                <w:sz w:val="18"/>
                <w:szCs w:val="18"/>
              </w:rPr>
              <w:t xml:space="preserve">Reverses V3</w:t>
            </w:r>
          </w:p>
        </w:tc>
        <w:tc>
          <w:tcPr>
            <w:tcW w:type="dxa" w:w="52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56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c>
          <w:tcPr>
            <w:tcW w:type="dxa" w:w="5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SO-3</w:t>
            </w:r>
          </w:p>
        </w:tc>
        <w:tc>
          <w:tcPr>
            <w:tcW w:type="dxa" w:w="23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SO mixes vendor-origin items</w:t>
            </w:r>
          </w:p>
        </w:tc>
        <w:tc>
          <w:tcPr>
            <w:tcW w:type="dxa" w:w="248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SO already item-based, vendor-agnostic → no work</w:t>
            </w:r>
          </w:p>
        </w:tc>
        <w:tc>
          <w:tcPr>
            <w:tcW w:type="dxa" w:w="11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166534"/>
                <w:sz w:val="18"/>
                <w:szCs w:val="18"/>
              </w:rPr>
              <w:t xml:space="preserve">Aligned</w:t>
            </w:r>
          </w:p>
        </w:tc>
        <w:tc>
          <w:tcPr>
            <w:tcW w:type="dxa" w:w="52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w:t>
            </w:r>
          </w:p>
        </w:tc>
        <w:tc>
          <w:tcPr>
            <w:tcW w:type="dxa" w:w="56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w:t>
            </w:r>
          </w:p>
        </w:tc>
        <w:tc>
          <w:tcPr>
            <w:tcW w:type="dxa" w:w="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
            </w:r>
          </w:p>
        </w:tc>
      </w:tr>
    </w:tbl>
    <w:p>
      <w:pPr>
        <w:spacing w:after="120"/>
      </w:pPr>
      <w:r>
        <w:rPr>
          <w:i/>
          <w:iCs/>
          <w:color w:val="475569"/>
          <w:sz w:val="20"/>
          <w:szCs w:val="20"/>
        </w:rPr>
        <w:t xml:space="preserve">*Aligned but needs adaptation to the new Assembly model rather than the current cart flow.</w:t>
      </w:r>
    </w:p>
    <w:p>
      <w:pPr>
        <w:pStyle w:val="Heading1"/>
      </w:pPr>
      <w:r>
        <w:t xml:space="preserve">4. Conflicts &amp; reversals from V3 (confirmed)</w:t>
      </w:r>
    </w:p>
    <w:p>
      <w:pPr>
        <w:pStyle w:val="ListParagraph"/>
        <w:numPr>
          <w:ilvl w:val="0"/>
          <w:numId w:val="3"/>
        </w:numPr>
        <w:spacing w:after="80"/>
      </w:pPr>
      <w:r>
        <w:rPr>
          <w:b/>
          <w:bCs/>
        </w:rPr>
        <w:t xml:space="preserve">Remove multiple-vendors-on-one-PO. </w:t>
      </w:r>
      <w:r>
        <w:t xml:space="preserve">Built and verified in V3 (toggle, per-line vendor, per-vendor Vendor bill fan-out). It will be removed and POs revert to a single vendor. The real need — a Sales Order that pulls items/assemblies that originally came from different vendors — is already met because SO lines reference items, not vendors. Confirmed by the supervisor.</w:t>
      </w:r>
    </w:p>
    <w:p>
      <w:pPr>
        <w:pStyle w:val="ListParagraph"/>
        <w:numPr>
          <w:ilvl w:val="0"/>
          <w:numId w:val="3"/>
        </w:numPr>
        <w:spacing w:after="80"/>
      </w:pPr>
      <w:r>
        <w:rPr>
          <w:b/>
          <w:bCs/>
        </w:rPr>
        <w:t xml:space="preserve">Asset creation moves from PO receive to ship-out / assembly. </w:t>
      </w:r>
      <w:r>
        <w:t xml:space="preserve">This contradicts the current “tracked asset registered on receive” flow and will require re-baselining the automated test harness, which currently expects assets at receive/ship.</w:t>
      </w:r>
    </w:p>
    <w:p>
      <w:pPr>
        <w:pStyle w:val="ListParagraph"/>
        <w:numPr>
          <w:ilvl w:val="0"/>
          <w:numId w:val="3"/>
        </w:numPr>
        <w:spacing w:after="80"/>
      </w:pPr>
      <w:r>
        <w:rPr>
          <w:b/>
          <w:bCs/>
        </w:rPr>
        <w:t xml:space="preserve">PO group line is genuinely still broken. </w:t>
      </w:r>
      <w:r>
        <w:t xml:space="preserve">V3 converted the SO group line to a single scaling line but never did the same on POs; the PO still explodes a group into individual lines. Legitimate fix (PO-1).</w:t>
      </w:r>
    </w:p>
    <w:p>
      <w:pPr>
        <w:pStyle w:val="Heading1"/>
      </w:pPr>
      <w:r>
        <w:t xml:space="preserve">5. Open design decisions (needed before P2)</w:t>
      </w:r>
    </w:p>
    <w:p>
      <w:pPr>
        <w:pStyle w:val="ListParagraph"/>
        <w:numPr>
          <w:ilvl w:val="0"/>
          <w:numId w:val="4"/>
        </w:numPr>
        <w:spacing w:after="80"/>
      </w:pPr>
      <w:r>
        <w:rPr>
          <w:b/>
          <w:bCs/>
        </w:rPr>
        <w:t xml:space="preserve">Asset auto-fill mapping (AS-3). </w:t>
      </w:r>
      <w:r>
        <w:t xml:space="preserve">How should the system derive “VS8 Cart → Cart Type = CTA Cart, Key Type = CTA Key, BP Device = VS8”? Proposal: attach asset-field defaults to each Group/Assembly definition rather than relying on names.</w:t>
      </w:r>
    </w:p>
    <w:p>
      <w:pPr>
        <w:pStyle w:val="ListParagraph"/>
        <w:numPr>
          <w:ilvl w:val="0"/>
          <w:numId w:val="4"/>
        </w:numPr>
        <w:spacing w:after="80"/>
      </w:pPr>
      <w:r>
        <w:rPr>
          <w:b/>
          <w:bCs/>
        </w:rPr>
        <w:t xml:space="preserve">Full asset field set (AS-4). </w:t>
      </w:r>
      <w:r>
        <w:t xml:space="preserve">Confirm every field a cart/asset carries: Cart Type, Key Type, BP Device, Cart Color, Tablet Number, Cart Code (required), plus Facility/Regional filled at ship-out.</w:t>
      </w:r>
    </w:p>
    <w:p>
      <w:pPr>
        <w:pStyle w:val="ListParagraph"/>
        <w:numPr>
          <w:ilvl w:val="0"/>
          <w:numId w:val="4"/>
        </w:numPr>
        <w:spacing w:after="80"/>
      </w:pPr>
      <w:r>
        <w:rPr>
          <w:b/>
          <w:bCs/>
        </w:rPr>
        <w:t xml:space="preserve">Confirm asset-timing move (IT-3). </w:t>
      </w:r>
      <w:r>
        <w:t xml:space="preserve">Stop minting tracked assets at PO receive and create them at ship-out (Singles) / assembly (Assemblies)?</w:t>
      </w:r>
    </w:p>
    <w:p>
      <w:pPr>
        <w:pStyle w:val="ListParagraph"/>
        <w:numPr>
          <w:ilvl w:val="0"/>
          <w:numId w:val="4"/>
        </w:numPr>
        <w:spacing w:after="80"/>
      </w:pPr>
      <w:r>
        <w:rPr>
          <w:b/>
          <w:bCs/>
        </w:rPr>
        <w:t xml:space="preserve">Assembly type management (AS-1). </w:t>
      </w:r>
      <w:r>
        <w:t xml:space="preserve">Seed EDAN / VS8 / Accutor; who can add/rename types, and where (a Manage Assembly Types area alongside Manage Vendors)?</w:t>
      </w:r>
    </w:p>
    <w:p>
      <w:pPr>
        <w:pStyle w:val="ListParagraph"/>
        <w:numPr>
          <w:ilvl w:val="0"/>
          <w:numId w:val="4"/>
        </w:numPr>
        <w:spacing w:after="80"/>
      </w:pPr>
      <w:r>
        <w:rPr>
          <w:b/>
          <w:bCs/>
        </w:rPr>
        <w:t xml:space="preserve">SO unit-selection UX (SO-1). </w:t>
      </w:r>
      <w:r>
        <w:t xml:space="preserve">When an Assembly/asset line is added to an SO, auto-list the available built units/assets to choose from — confirm this interaction.</w:t>
      </w:r>
    </w:p>
    <w:p>
      <w:pPr>
        <w:pStyle w:val="Heading1"/>
        <w:pageBreakBefore/>
      </w:pPr>
      <w:r>
        <w:t xml:space="preserve">6. Proposed phased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600"/>
        <w:gridCol w:w="5310"/>
        <w:gridCol w:w="600"/>
      </w:tblGrid>
      <w:tr>
        <w:trPr>
          <w:tblHeader/>
        </w:trPr>
        <w:tc>
          <w:tcPr>
            <w:tcW w:type="dxa" w:w="85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Phase</w:t>
            </w:r>
          </w:p>
        </w:tc>
        <w:tc>
          <w:tcPr>
            <w:tcW w:type="dxa" w:w="26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Scope</w:t>
            </w:r>
          </w:p>
        </w:tc>
        <w:tc>
          <w:tcPr>
            <w:tcW w:type="dxa" w:w="531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Acceptance / deliverable</w:t>
            </w:r>
          </w:p>
        </w:tc>
        <w:tc>
          <w:tcPr>
            <w:tcW w:type="dxa" w:w="600"/>
            <w:tcBorders>
              <w:top w:val="single" w:color="CBD5E1" w:sz="1"/>
              <w:left w:val="single" w:color="CBD5E1" w:sz="1"/>
              <w:bottom w:val="single" w:color="CBD5E1" w:sz="1"/>
              <w:right w:val="single" w:color="CBD5E1" w:sz="1"/>
            </w:tcBorders>
            <w:shd w:fill="312E81" w:val="clear"/>
            <w:tcMar>
              <w:top w:type="dxa" w:w="60"/>
              <w:left w:type="dxa" w:w="90"/>
              <w:bottom w:type="dxa" w:w="60"/>
              <w:right w:type="dxa" w:w="90"/>
            </w:tcMar>
            <w:vAlign w:val="top"/>
          </w:tcPr>
          <w:p>
            <w:r>
              <w:rPr>
                <w:b/>
                <w:bCs/>
                <w:color w:val="FFFFFF"/>
                <w:sz w:val="18"/>
                <w:szCs w:val="18"/>
              </w:rPr>
              <w:t xml:space="preserve">Size</w:t>
            </w:r>
          </w:p>
        </w:tc>
      </w:tr>
      <w:tr>
        <w:trPr>
          <w:tblHeader w:val="false"/>
        </w:trPr>
        <w:tc>
          <w:tcPr>
            <w:tcW w:type="dxa" w:w="85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P0</w:t>
            </w:r>
          </w:p>
        </w:tc>
        <w:tc>
          <w:tcPr>
            <w:tcW w:type="dxa" w:w="2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Quick wins &amp; removals: INV-1 sticky header, PO-1 single group line, PO-2 hide deposit, PO-3 deposit % via Manage Vendors, PO-4 Manage Vendors, PO-5 no-payment-when-paid, SO-2 remove multi-vendor PO</w:t>
            </w:r>
          </w:p>
        </w:tc>
        <w:tc>
          <w:tcPr>
            <w:tcW w:type="dxa" w:w="531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Each independently demoable; no model change; existing harness still green</w:t>
            </w:r>
          </w:p>
        </w:tc>
        <w:tc>
          <w:tcPr>
            <w:tcW w:type="dxa" w:w="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M</w:t>
            </w:r>
          </w:p>
        </w:tc>
      </w:tr>
      <w:tr>
        <w:trPr>
          <w:tblHeader w:val="false"/>
        </w:trPr>
        <w:tc>
          <w:tcPr>
            <w:tcW w:type="dxa" w:w="85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P1</w:t>
            </w:r>
          </w:p>
        </w:tc>
        <w:tc>
          <w:tcPr>
            <w:tcW w:type="dxa" w:w="2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Item Types foundation: IT-1, IT-2; seed migration; unified catalog; add-modal three kinds</w:t>
            </w:r>
          </w:p>
        </w:tc>
        <w:tc>
          <w:tcPr>
            <w:tcW w:type="dxa" w:w="531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Create a Single (asset flag), Group, and Assembly; harness re-baselined for new shapes</w:t>
            </w:r>
          </w:p>
        </w:tc>
        <w:tc>
          <w:tcPr>
            <w:tcW w:type="dxa" w:w="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L</w:t>
            </w:r>
          </w:p>
        </w:tc>
      </w:tr>
      <w:tr>
        <w:trPr>
          <w:tblHeader w:val="false"/>
        </w:trPr>
        <w:tc>
          <w:tcPr>
            <w:tcW w:type="dxa" w:w="85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P2</w:t>
            </w:r>
          </w:p>
        </w:tc>
        <w:tc>
          <w:tcPr>
            <w:tcW w:type="dxa" w:w="2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Assemblies: AS-1, AS-2, AS-3, AS-4, AS-6, AS-7; IT-4, IT-5</w:t>
            </w:r>
          </w:p>
        </w:tc>
        <w:tc>
          <w:tcPr>
            <w:tcW w:type="dxa" w:w="531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Assemble a VS8 cart — auto-filled fields, mandatory code, parts removed, one asset created, editable, landed attached</w:t>
            </w:r>
          </w:p>
        </w:tc>
        <w:tc>
          <w:tcPr>
            <w:tcW w:type="dxa" w:w="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L</w:t>
            </w:r>
          </w:p>
        </w:tc>
      </w:tr>
      <w:tr>
        <w:trPr>
          <w:tblHeader w:val="false"/>
        </w:trPr>
        <w:tc>
          <w:tcPr>
            <w:tcW w:type="dxa" w:w="85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P3</w:t>
            </w:r>
          </w:p>
        </w:tc>
        <w:tc>
          <w:tcPr>
            <w:tcW w:type="dxa" w:w="2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Asset lifecycle &amp; ship-out: IT-3, AS-5</w:t>
            </w:r>
          </w:p>
        </w:tc>
        <w:tc>
          <w:tcPr>
            <w:tcW w:type="dxa" w:w="531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Asset minted at ship-out for asset Singles; assembly facility/regional set at ship</w:t>
            </w:r>
          </w:p>
        </w:tc>
        <w:tc>
          <w:tcPr>
            <w:tcW w:type="dxa" w:w="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r>
      <w:tr>
        <w:trPr>
          <w:tblHeader w:val="false"/>
        </w:trPr>
        <w:tc>
          <w:tcPr>
            <w:tcW w:type="dxa" w:w="85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P4</w:t>
            </w:r>
          </w:p>
        </w:tc>
        <w:tc>
          <w:tcPr>
            <w:tcW w:type="dxa" w:w="2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SO asset/assembly shipping: SO-1</w:t>
            </w:r>
          </w:p>
        </w:tc>
        <w:tc>
          <w:tcPr>
            <w:tcW w:type="dxa" w:w="531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Add an assembly line → pick a built unit; ship a laptop → pick the specific asset</w:t>
            </w:r>
          </w:p>
        </w:tc>
        <w:tc>
          <w:tcPr>
            <w:tcW w:type="dxa" w:w="600"/>
            <w:tcBorders>
              <w:top w:val="single" w:color="CBD5E1" w:sz="1"/>
              <w:left w:val="single" w:color="CBD5E1" w:sz="1"/>
              <w:bottom w:val="single" w:color="CBD5E1" w:sz="1"/>
              <w:right w:val="single" w:color="CBD5E1" w:sz="1"/>
            </w:tcBorders>
            <w:tcMar>
              <w:top w:type="dxa" w:w="60"/>
              <w:left w:type="dxa" w:w="90"/>
              <w:bottom w:type="dxa" w:w="60"/>
              <w:right w:type="dxa" w:w="90"/>
            </w:tcMar>
            <w:vAlign w:val="top"/>
          </w:tcPr>
          <w:p>
            <w:r>
              <w:rPr>
                <w:b w:val="false"/>
                <w:bCs w:val="false"/>
                <w:color w:val="0F172A"/>
                <w:sz w:val="18"/>
                <w:szCs w:val="18"/>
              </w:rPr>
              <w:t xml:space="preserve">L</w:t>
            </w:r>
          </w:p>
        </w:tc>
      </w:tr>
      <w:tr>
        <w:trPr>
          <w:tblHeader w:val="false"/>
        </w:trPr>
        <w:tc>
          <w:tcPr>
            <w:tcW w:type="dxa" w:w="85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P5</w:t>
            </w:r>
          </w:p>
        </w:tc>
        <w:tc>
          <w:tcPr>
            <w:tcW w:type="dxa" w:w="2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Verify &amp; document</w:t>
            </w:r>
          </w:p>
        </w:tc>
        <w:tc>
          <w:tcPr>
            <w:tcW w:type="dxa" w:w="531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Update/extend the test harness, rebuild, refresh dist, update in-app badges and the supervisor docs</w:t>
            </w:r>
          </w:p>
        </w:tc>
        <w:tc>
          <w:tcPr>
            <w:tcW w:type="dxa" w:w="6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vAlign w:val="top"/>
          </w:tcPr>
          <w:p>
            <w:r>
              <w:rPr>
                <w:b w:val="false"/>
                <w:bCs w:val="false"/>
                <w:color w:val="0F172A"/>
                <w:sz w:val="18"/>
                <w:szCs w:val="18"/>
              </w:rPr>
              <w:t xml:space="preserve">M</w:t>
            </w:r>
          </w:p>
        </w:tc>
      </w:tr>
    </w:tbl>
    <w:p>
      <w:pPr>
        <w:spacing w:after="120"/>
      </w:pPr>
      <w:r>
        <w:rPr>
          <w:i/>
          <w:iCs/>
          <w:color w:val="475569"/>
          <w:sz w:val="20"/>
          <w:szCs w:val="20"/>
        </w:rPr>
        <w:t xml:space="preserve">Sizes are relative (S/M/L), not hours. P0 can ship and be approved independently while P1–P4 are scoped.</w:t>
      </w:r>
    </w:p>
    <w:p>
      <w:pPr>
        <w:pStyle w:val="Heading1"/>
      </w:pPr>
      <w:r>
        <w:t xml:space="preserve">7. Verification impact</w:t>
      </w:r>
    </w:p>
    <w:p>
      <w:pPr>
        <w:spacing w:after="120"/>
      </w:pPr>
      <w:r>
        <w:t xml:space="preserve">The automated harness (_qa/test.mjs, _qa/req_check.mjs) currently asserts the V3 behavior, including tracked assets at PO receive and the multi-vendor Vendor Bills fan-out. Moving asset timing (IT-3) and removing multi-vendor (SO-2) will intentionally change those expectations, so the harness must be re-baselined in P0/P1 and extended with V4 checks (asset minted at ship-out, assembly creates exactly one asset, PO group scales as one line, deposit % off the bill total). Every phase ends with a green harness and a clean production build.</w:t>
      </w:r>
    </w:p>
    <w:p>
      <w:pPr>
        <w:pStyle w:val="Heading1"/>
      </w:pPr>
      <w:r>
        <w:t xml:space="preserve">8. Sign-off</w:t>
      </w:r>
    </w:p>
    <w:p>
      <w:pPr>
        <w:spacing w:after="120"/>
      </w:pPr>
      <w:r>
        <w:t xml:space="preserve">Please confirm the following so development can begin:</w:t>
      </w:r>
    </w:p>
    <w:p>
      <w:pPr>
        <w:pStyle w:val="ListParagraph"/>
        <w:numPr>
          <w:ilvl w:val="0"/>
          <w:numId w:val="2"/>
        </w:numPr>
        <w:spacing w:after="70"/>
      </w:pPr>
      <w:r>
        <w:t xml:space="preserve">Approve the phased plan in section 6 (and whether P0 may ship ahead of the rest).</w:t>
      </w:r>
    </w:p>
    <w:p>
      <w:pPr>
        <w:pStyle w:val="ListParagraph"/>
        <w:numPr>
          <w:ilvl w:val="0"/>
          <w:numId w:val="2"/>
        </w:numPr>
        <w:spacing w:after="70"/>
      </w:pPr>
      <w:r>
        <w:t xml:space="preserve">Answer the five open decisions in section 5.</w:t>
      </w:r>
    </w:p>
    <w:p>
      <w:pPr>
        <w:pStyle w:val="ListParagraph"/>
        <w:numPr>
          <w:ilvl w:val="0"/>
          <w:numId w:val="2"/>
        </w:numPr>
        <w:spacing w:after="70"/>
      </w:pPr>
      <w:r>
        <w:t xml:space="preserve">Confirm the two V3 reversals in section 4 (multi-vendor removal and asset-timing move).</w:t>
      </w:r>
    </w:p>
    <w:p>
      <w:pPr>
        <w:spacing w:after="60"/>
      </w:pPr>
      <w:r>
        <w:t xml:space="preserve"/>
      </w:r>
    </w:p>
    <w:p>
      <w:pPr>
        <w:spacing w:after="120"/>
      </w:pPr>
      <w:r>
        <w:rPr>
          <w:b/>
          <w:bCs/>
        </w:rPr>
        <w:t xml:space="preserve">Approved by: </w:t>
      </w:r>
      <w:r>
        <w:t xml:space="preserve">________________________      </w:t>
      </w:r>
      <w:r>
        <w:rPr>
          <w:b/>
          <w:bCs/>
        </w:rPr>
        <w:t xml:space="preserve">Date: </w:t>
      </w:r>
      <w:r>
        <w:t xml:space="preserve">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pPr>
    <w:r>
      <w:rPr>
        <w:color w:val="475569"/>
        <w:sz w:val="16"/>
        <w:szCs w:val="16"/>
      </w:rPr>
      <w:t xml:space="preserve">Carease Health — Warehouse (WMS) · V4 Change Analysis &amp;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8" w:space="2"/>
      </w:pBdr>
      <w:spacing w:after="120" w:before="240"/>
      <w:outlineLvl w:val="0"/>
    </w:pPr>
    <w:rPr>
      <w:rFonts w:ascii="Arial" w:cs="Arial" w:eastAsia="Arial" w:hAnsi="Arial"/>
      <w:b/>
      <w:bCs/>
      <w:color w:val="312E81"/>
      <w:sz w:val="27"/>
      <w:szCs w:val="27"/>
    </w:rPr>
  </w:style>
  <w:style w:type="paragraph" w:styleId="Heading2">
    <w:name w:val="Heading 2"/>
    <w:basedOn w:val="Normal"/>
    <w:next w:val="Normal"/>
    <w:qFormat/>
    <w:pPr>
      <w:spacing w:after="80" w:before="180"/>
      <w:outlineLvl w:val="1"/>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2026-06-24T13:25:12.000Z</dcterms:created>
  <dcterms:modified xsi:type="dcterms:W3CDTF">2026-06-24T13:25:12.000Z</dcterms:modified>
</cp:coreProperties>
</file>

<file path=docProps/custom.xml><?xml version="1.0" encoding="utf-8"?>
<Properties xmlns="http://schemas.openxmlformats.org/officeDocument/2006/custom-properties" xmlns:vt="http://schemas.openxmlformats.org/officeDocument/2006/docPropsVTypes"/>
</file>