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496"/>
          <w:sz w:val="24"/>
        </w:rPr>
        <w:t>Carease Health — Warehouse (WMS)</w:t>
      </w:r>
    </w:p>
    <w:p>
      <w:r>
        <w:rPr>
          <w:b/>
          <w:color w:val="C00000"/>
          <w:sz w:val="36"/>
        </w:rPr>
        <w:t>User Guide Addendum (V4) — superseded</w:t>
      </w:r>
    </w:p>
    <w:p/>
    <w:p>
      <w:r>
        <w:rPr>
          <w:b/>
        </w:rPr>
        <w:t xml:space="preserve">This earlier Version 4 addendum has been replaced. </w:t>
      </w:r>
      <w:r>
        <w:t>Please use “Warehouse WMS - User Guide Addendum (Item Types &amp; Assemblies).docx”, which reflects the latest asset rules from the most recent amendment.</w:t>
      </w:r>
    </w:p>
    <w:p/>
    <w:p>
      <w:r>
        <w:rPr>
          <w:b/>
        </w:rPr>
        <w:t xml:space="preserve">What changed since the V4 addendum: </w:t>
      </w:r>
    </w:p>
    <w:p>
      <w:pPr>
        <w:pStyle w:val="ListBullet"/>
      </w:pPr>
      <w:r>
        <w:t>A single item is no longer treated as an asset — only assemblies are assets.</w:t>
      </w:r>
    </w:p>
    <w:p>
      <w:pPr>
        <w:pStyle w:val="ListBullet"/>
      </w:pPr>
      <w:r>
        <w:t>Laptops and gameshows are now assembly-only items and are assembled as single-item assemblies.</w:t>
      </w:r>
    </w:p>
    <w:p>
      <w:pPr>
        <w:pStyle w:val="ListBullet"/>
      </w:pPr>
      <w:r>
        <w:t>Assets are created only at the assembly step (never at receiving, never when shipping a loose single).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