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4E79" w:val="clear"/>
            <w:tcMar>
              <w:top w:type="dxa" w:w="400"/>
              <w:left w:type="dxa" w:w="480"/>
              <w:bottom w:type="dxa" w:w="400"/>
              <w:right w:type="dxa" w:w="480"/>
            </w:tcMar>
          </w:tcPr>
          <w:p>
            <w:pPr>
              <w:spacing w:after="120"/>
            </w:pPr>
            <w:r>
              <w:rPr>
                <w:rFonts w:ascii="Arial" w:cs="Arial" w:eastAsia="Arial" w:hAnsi="Arial"/>
                <w:b/>
                <w:bCs/>
                <w:color w:val="FFFFFF"/>
                <w:sz w:val="52"/>
                <w:szCs w:val="52"/>
              </w:rPr>
              <w:t xml:space="preserve">Option Wheel Manager</w:t>
            </w:r>
          </w:p>
          <w:p>
            <w:pPr>
              <w:spacing w:after="120"/>
            </w:pPr>
            <w:r>
              <w:rPr>
                <w:rFonts w:ascii="Arial" w:cs="Arial" w:eastAsia="Arial" w:hAnsi="Arial"/>
                <w:color w:val="BDD7EE"/>
                <w:sz w:val="32"/>
                <w:szCs w:val="32"/>
              </w:rPr>
              <w:t xml:space="preserve">Technology Stack Reference</w:t>
            </w:r>
          </w:p>
          <w:p>
            <w:r>
              <w:rPr>
                <w:rFonts w:ascii="Arial" w:cs="Arial" w:eastAsia="Arial" w:hAnsi="Arial"/>
                <w:color w:val="9DC3E6"/>
                <w:sz w:val="22"/>
                <w:szCs w:val="22"/>
              </w:rPr>
              <w:t xml:space="preserve">Version 1.0  •  February 2026</w:t>
            </w:r>
          </w:p>
        </w:tc>
      </w:tr>
    </w:tbl>
    <w:p>
      <w:pPr>
        <w:spacing w:before="320" w:after="320"/>
      </w:pPr>
      <w:r>
        <w:t xml:space="preserve"/>
      </w:r>
    </w:p>
    <w:p>
      <w:pPr>
        <w:spacing w:before="0" w:after="200"/>
      </w:pPr>
      <w:r>
        <w:rPr>
          <w:rFonts w:ascii="Arial" w:cs="Arial" w:eastAsia="Arial" w:hAnsi="Arial"/>
          <w:color w:val="1A1A1A"/>
          <w:sz w:val="22"/>
          <w:szCs w:val="22"/>
        </w:rPr>
        <w:t xml:space="preserve">This document defines the technology choices for the Option Wheel Manager application, including the front-end framework, API layer, database, broker integration, and development tooling. It records the rationale for each decision and maps components to the five build phases.</w:t>
      </w:r>
    </w:p>
    <w:p>
      <w:pPr>
        <w:pStyle w:val="Heading1"/>
        <w:spacing w:before="360" w:after="160"/>
      </w:pPr>
      <w:r>
        <w:rPr>
          <w:rFonts w:ascii="Arial" w:cs="Arial" w:eastAsia="Arial" w:hAnsi="Arial"/>
          <w:b/>
          <w:bCs/>
          <w:color w:val="1F4E79"/>
          <w:sz w:val="32"/>
          <w:szCs w:val="32"/>
        </w:rPr>
        <w:t xml:space="preserve">1. Architecture Overview</w:t>
      </w:r>
    </w:p>
    <w:p>
      <w:pPr>
        <w:pBdr>
          <w:bottom w:val="single" w:color="2E75B6" w:sz="6" w:space="1"/>
        </w:pBdr>
        <w:spacing w:before="60" w:after="200"/>
      </w:pPr>
      <w:r>
        <w:t xml:space="preserve"/>
      </w:r>
    </w:p>
    <w:p>
      <w:pPr>
        <w:spacing w:before="60" w:after="80"/>
      </w:pPr>
      <w:r>
        <w:rPr>
          <w:rFonts w:ascii="Arial" w:cs="Arial" w:eastAsia="Arial" w:hAnsi="Arial"/>
          <w:color w:val="1A1A1A"/>
          <w:sz w:val="22"/>
          <w:szCs w:val="22"/>
        </w:rPr>
        <w:t xml:space="preserve">The application is a three-layer system: a Preact front end that the trader interacts with, a Python FastAPI backend that owns all business logic, and a PostgreSQL database that is the source of truth for all position history. A broker adapter layer (alpaca-py) isolates all Alpaca API calls so the core engines have no broker dependencies.</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8FAFC" w:val="clear"/>
            <w:tcMar>
              <w:top w:type="dxa" w:w="200"/>
              <w:left w:type="dxa" w:w="240"/>
              <w:bottom w:type="dxa" w:w="200"/>
              <w:right w:type="dxa" w:w="240"/>
            </w:tcMar>
          </w:tcPr>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USER INTERFACE (Preact + Vite)         │</w:t>
            </w:r>
          </w:p>
          <w:p>
            <w:pPr>
              <w:spacing w:before="0" w:after="0"/>
            </w:pPr>
            <w:r>
              <w:rPr>
                <w:rFonts w:ascii="Courier New" w:cs="Courier New" w:eastAsia="Courier New" w:hAnsi="Courier New"/>
                <w:color w:val="1A1A1A"/>
                <w:sz w:val="18"/>
                <w:szCs w:val="18"/>
              </w:rPr>
              <w:t xml:space="preserve">  │   Dashboard · Position Detail · Trade Entry       │</w:t>
            </w:r>
          </w:p>
          <w:p>
            <w:pPr>
              <w:spacing w:before="0" w:after="0"/>
            </w:pPr>
            <w:r>
              <w:rPr>
                <w:rFonts w:ascii="Courier New" w:cs="Courier New" w:eastAsia="Courier New" w:hAnsi="Courier New"/>
                <w:color w:val="1A1A1A"/>
                <w:sz w:val="18"/>
                <w:szCs w:val="18"/>
              </w:rPr>
              <w:t xml:space="preserve">  │  React Query (data) · Signals (local) · Zustand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HTTP / REST</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API LAYER (FastAPI)                     │</w:t>
            </w:r>
          </w:p>
          <w:p>
            <w:pPr>
              <w:spacing w:before="0" w:after="0"/>
            </w:pPr>
            <w:r>
              <w:rPr>
                <w:rFonts w:ascii="Courier New" w:cs="Courier New" w:eastAsia="Courier New" w:hAnsi="Courier New"/>
                <w:color w:val="1A1A1A"/>
                <w:sz w:val="18"/>
                <w:szCs w:val="18"/>
              </w:rPr>
              <w:t xml:space="preserve">  │   Lifecycle Engine · Cost Basis Engine           │</w:t>
            </w:r>
          </w:p>
          <w:p>
            <w:pPr>
              <w:spacing w:before="0" w:after="0"/>
            </w:pPr>
            <w:r>
              <w:rPr>
                <w:rFonts w:ascii="Courier New" w:cs="Courier New" w:eastAsia="Courier New" w:hAnsi="Courier New"/>
                <w:color w:val="1A1A1A"/>
                <w:sz w:val="18"/>
                <w:szCs w:val="18"/>
              </w:rPr>
              <w:t xml:space="preserve">  │   Alert Engine · Screener · APScheduler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               │</w:t>
            </w:r>
          </w:p>
          <w:p>
            <w:pPr>
              <w:spacing w:before="0" w:after="0"/>
            </w:pPr>
            <w:r>
              <w:rPr>
                <w:rFonts w:ascii="Courier New" w:cs="Courier New" w:eastAsia="Courier New" w:hAnsi="Courier New"/>
                <w:color w:val="1A1A1A"/>
                <w:sz w:val="18"/>
                <w:szCs w:val="18"/>
              </w:rPr>
              <w:t xml:space="preserve">  ┌──────────┴──┐  ┌─────────┴─────┐</w:t>
            </w:r>
          </w:p>
          <w:p>
            <w:pPr>
              <w:spacing w:before="0" w:after="0"/>
            </w:pPr>
            <w:r>
              <w:rPr>
                <w:rFonts w:ascii="Courier New" w:cs="Courier New" w:eastAsia="Courier New" w:hAnsi="Courier New"/>
                <w:color w:val="1A1A1A"/>
                <w:sz w:val="18"/>
                <w:szCs w:val="18"/>
              </w:rPr>
              <w:t xml:space="preserve">  │  PostgreSQL   │  │  Alpaca Broker  │</w:t>
            </w:r>
          </w:p>
          <w:p>
            <w:pPr>
              <w:spacing w:before="0" w:after="0"/>
            </w:pPr>
            <w:r>
              <w:rPr>
                <w:rFonts w:ascii="Courier New" w:cs="Courier New" w:eastAsia="Courier New" w:hAnsi="Courier New"/>
                <w:color w:val="1A1A1A"/>
                <w:sz w:val="18"/>
                <w:szCs w:val="18"/>
              </w:rPr>
              <w:t xml:space="preserve">  │  SQLAlchemy   │  │  API Adapter    │</w:t>
            </w:r>
          </w:p>
          <w:p>
            <w:pPr>
              <w:spacing w:before="0" w:after="0"/>
            </w:pPr>
            <w:r>
              <w:rPr>
                <w:rFonts w:ascii="Courier New" w:cs="Courier New" w:eastAsia="Courier New" w:hAnsi="Courier New"/>
                <w:color w:val="1A1A1A"/>
                <w:sz w:val="18"/>
                <w:szCs w:val="18"/>
              </w:rPr>
              <w:t xml:space="preserve">  │  Alembic      │  │  (alpaca-py)    │</w:t>
            </w:r>
          </w:p>
          <w:p>
            <w:pPr>
              <w:spacing w:before="0" w:after="0"/>
            </w:pPr>
            <w:r>
              <w:rPr>
                <w:rFonts w:ascii="Courier New" w:cs="Courier New" w:eastAsia="Courier New" w:hAnsi="Courier New"/>
                <w:color w:val="1A1A1A"/>
                <w:sz w:val="18"/>
                <w:szCs w:val="18"/>
              </w:rPr>
              <w:t xml:space="preserve">  └──────────────┘  └───────────────┘</w:t>
            </w:r>
          </w:p>
        </w:tc>
      </w:tr>
    </w:tbl>
    <w:p>
      <w:pPr>
        <w:spacing w:before="200" w:after="200"/>
      </w:pPr>
      <w:r>
        <w:t xml:space="preserve"/>
      </w:r>
    </w:p>
    <w:p>
      <w:pPr>
        <w:spacing w:before="60" w:after="80"/>
      </w:pPr>
      <w:r>
        <w:rPr>
          <w:rFonts w:ascii="Arial" w:cs="Arial" w:eastAsia="Arial" w:hAnsi="Arial"/>
          <w:color w:val="1A1A1A"/>
          <w:sz w:val="22"/>
          <w:szCs w:val="22"/>
        </w:rPr>
        <w:t xml:space="preserve">The key architectural principle is isolation: all Alpaca API calls are routed through a single adapter module (integrations/alpaca.py). The core engines — Lifecycle, Cost Basis, and Alert — are pure Python with no broker or database imports. This means the broker can be swapped or extended without touching business logic, and the engines can be unit-tested without a live API connection or database.</w:t>
      </w:r>
    </w:p>
    <w:p>
      <w:pPr>
        <w:pStyle w:val="Heading1"/>
        <w:spacing w:before="360" w:after="160"/>
      </w:pPr>
      <w:r>
        <w:rPr>
          <w:rFonts w:ascii="Arial" w:cs="Arial" w:eastAsia="Arial" w:hAnsi="Arial"/>
          <w:b/>
          <w:bCs/>
          <w:color w:val="1F4E79"/>
          <w:sz w:val="32"/>
          <w:szCs w:val="32"/>
        </w:rPr>
        <w:t xml:space="preserve">2. Technology Stack</w:t>
      </w:r>
    </w:p>
    <w:p>
      <w:pPr>
        <w:pBdr>
          <w:bottom w:val="single" w:color="2E75B6" w:sz="6" w:space="1"/>
        </w:pBdr>
        <w:spacing w:before="6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000"/>
        <w:gridCol w:w="3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Preact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10.x</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3 KB drop-in alternative to React with an identical component model and hooks API. Faster initial load and smaller bundle than React, with no API changes required for position cards, phase-conditional UI, or form state. Preact’s native Signals primitives (@preact/signals) are the preferred reactive state mechanism for component- and page-level state. React Query and Zustand both work with Preact via preact/compat.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Vite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Fast dev server with HMR; minimal config for a Preact + TypeScript project.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TypeScript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5.x</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Type-safe option/position models prevent class of runtime errors common in financial apps with complex state.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React Query (TanStack)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Handles 60-second polling, background refetching, stale-while-revalidate caching, and loading/error states without custom code. Eliminates need for WebSockets in Phases 1–3.</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Zustand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5.x</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Lightweight global store for cross-cutting UI state shared across multiple views (e.g. selected position, environment toggle). Zustand is reserved for global state only; Preact Signals (@preact/signals) are preferred for component- and page-level reactive state.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API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Python FastAPI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0.115.x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Async request handling, auto-generated OpenAPI docs, and native support for APScheduler background tasks in the same process. First-class support from the alpaca-py SDK.</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API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Pydantic v2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2.x</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validation for all API request/response models; enforces strategy_type and phase enums at the boundary.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API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APScheduler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Runs alert evaluation and Alpaca polling (price sync, assignment detection) as background jobs inside the FastAPI process. No Redis or Celery needed at this scale.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PostgreSQL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16.x</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Production-grade RDBMS with strong JSON support (useful for tags and greeks_at_open), reliable ACID transactions for atomic roll operations, and straightforward hosting on any cloud or local machine.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SQLAlchemy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ORM layer with async support; maps cleanly to the Position, Leg, CostBasisSnapshot, and Alert entities. Broker-agnostic core logic has no DB dependencies.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Alembic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1.x</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Schema migrations tied to SQLAlchemy models; safe incremental upgrades as the data model evolves across phases.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Broker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alpaca-py (Alpaca SDK)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Official Python SDK for Alpaca. Covers all required read operations (positions, option chains, snapshots, activities) and write operations (order placement) with paper/live environment toggle.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Broker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Alpaca REST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v2</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Polled every 60 seconds during market hours for prices and Greeks. Polled every few minutes for /v2/activities to detect assignment events (no WebSocket push available from Alpaca for assignments).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Broker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Alpaca WebSocket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Used in Phase 4 only for real-time order status callbacks after order placement. Not used for position or price data.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Dev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pytest + pytest-asyncio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latest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Unit and integration tests for the lifecycle engine, cost basis engine, and FastAPI routes. Full test coverage of the cost basis formula is a Phase 1 requirement.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Dev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Docker Compose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Local development environment: one container for FastAPI + APScheduler, one for PostgreSQL. Eliminates ‘works on my machine’ issues and mirrors a potential production deployment.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Dev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Alembic CLI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Database migration management during development and deployment.</w:t>
            </w:r>
          </w:p>
        </w:tc>
      </w:tr>
    </w:tbl>
    <w:p>
      <w:r>
        <w:br w:type="page"/>
      </w:r>
    </w:p>
    <w:p>
      <w:pPr>
        <w:pStyle w:val="Heading1"/>
        <w:spacing w:before="360" w:after="160"/>
      </w:pPr>
      <w:r>
        <w:rPr>
          <w:rFonts w:ascii="Arial" w:cs="Arial" w:eastAsia="Arial" w:hAnsi="Arial"/>
          <w:b/>
          <w:bCs/>
          <w:color w:val="1F4E79"/>
          <w:sz w:val="32"/>
          <w:szCs w:val="32"/>
        </w:rPr>
        <w:t xml:space="preserve">3. Component Detail</w:t>
      </w:r>
    </w:p>
    <w:p>
      <w:pPr>
        <w:pBdr>
          <w:bottom w:val="single" w:color="2E75B6" w:sz="6" w:space="1"/>
        </w:pBdr>
        <w:spacing w:before="60" w:after="200"/>
      </w:pPr>
      <w:r>
        <w:t xml:space="preserve"/>
      </w:r>
    </w:p>
    <w:p>
      <w:pPr>
        <w:pStyle w:val="Heading2"/>
        <w:spacing w:before="280" w:after="120"/>
      </w:pPr>
      <w:r>
        <w:rPr>
          <w:rFonts w:ascii="Arial" w:cs="Arial" w:eastAsia="Arial" w:hAnsi="Arial"/>
          <w:b/>
          <w:bCs/>
          <w:color w:val="2E75B6"/>
          <w:sz w:val="26"/>
          <w:szCs w:val="26"/>
        </w:rPr>
        <w:t xml:space="preserve">3.1  Front End</w:t>
      </w:r>
    </w:p>
    <w:p>
      <w:pPr>
        <w:spacing w:before="60" w:after="80"/>
      </w:pPr>
      <w:r>
        <w:rPr>
          <w:rFonts w:ascii="Arial" w:cs="Arial" w:eastAsia="Arial" w:hAnsi="Arial"/>
          <w:color w:val="1A1A1A"/>
          <w:sz w:val="22"/>
          <w:szCs w:val="22"/>
        </w:rPr>
        <w:t xml:space="preserve">The front end is a Preact 10 single-page application built with Vite. Preact is a 3 KB alternative to React with an identical hooks-based component API — all component code, React Query hooks, Preact Signals, and Zustand stores work unchanged via preact/compat. TypeScript is used throughout to give strong typing to the option contract, position, and leg models, a meaningful safety net for an app where incorrect numeric types can lead to wrong cost basis calculations.</w:t>
      </w:r>
    </w:p>
    <w:p>
      <w:pPr>
        <w:pStyle w:val="Heading3"/>
        <w:spacing w:before="200" w:after="100"/>
      </w:pPr>
      <w:r>
        <w:rPr>
          <w:rFonts w:ascii="Arial" w:cs="Arial" w:eastAsia="Arial" w:hAnsi="Arial"/>
          <w:b/>
          <w:bCs/>
          <w:color w:val="1F4E79"/>
          <w:sz w:val="22"/>
          <w:szCs w:val="22"/>
        </w:rPr>
        <w:t xml:space="preserve">React Query (TanStack Query)</w:t>
      </w:r>
    </w:p>
    <w:p>
      <w:pPr>
        <w:spacing w:before="60" w:after="80"/>
      </w:pPr>
      <w:r>
        <w:rPr>
          <w:rFonts w:ascii="Arial" w:cs="Arial" w:eastAsia="Arial" w:hAnsi="Arial"/>
          <w:color w:val="1A1A1A"/>
          <w:sz w:val="22"/>
          <w:szCs w:val="22"/>
        </w:rPr>
        <w:t xml:space="preserve">React Query is the data-fetching layer and replaces the need for WebSockets in Phases 1–3. The key configuration is a refetchInterval of 60,000 ms during market hours and a higher interval (or disabled) outside market hours. The stale-while-revalidate caching model means the UI always shows data immediately from cache while background refetches run silently.</w:t>
      </w:r>
    </w:p>
    <w:p>
      <w:pPr>
        <w:pStyle w:val="ListParagraph"/>
        <w:numPr>
          <w:ilvl w:val="0"/>
          <w:numId w:val="2"/>
        </w:numPr>
        <w:spacing w:before="40" w:after="40"/>
      </w:pPr>
      <w:r>
        <w:rPr>
          <w:rFonts w:ascii="Arial" w:cs="Arial" w:eastAsia="Arial" w:hAnsi="Arial"/>
          <w:b w:val="false"/>
          <w:bCs w:val="false"/>
          <w:color w:val="1A1A1A"/>
          <w:sz w:val="22"/>
          <w:szCs w:val="22"/>
        </w:rPr>
        <w:t xml:space="preserve">Server state (positions, prices, alerts) → React Query</w:t>
      </w:r>
    </w:p>
    <w:p>
      <w:pPr>
        <w:pStyle w:val="ListParagraph"/>
        <w:numPr>
          <w:ilvl w:val="0"/>
          <w:numId w:val="2"/>
        </w:numPr>
        <w:spacing w:before="40" w:after="40"/>
      </w:pPr>
      <w:r>
        <w:rPr>
          <w:rFonts w:ascii="Arial" w:cs="Arial" w:eastAsia="Arial" w:hAnsi="Arial"/>
          <w:b w:val="false"/>
          <w:bCs w:val="false"/>
          <w:color w:val="1A1A1A"/>
          <w:sz w:val="22"/>
          <w:szCs w:val="22"/>
        </w:rPr>
        <w:t xml:space="preserve">Component / page-level reactive state → Preact Signals (@preact/signals) — preferred</w:t>
      </w:r>
    </w:p>
    <w:p>
      <w:pPr>
        <w:pStyle w:val="ListParagraph"/>
        <w:numPr>
          <w:ilvl w:val="0"/>
          <w:numId w:val="2"/>
        </w:numPr>
        <w:spacing w:before="40" w:after="40"/>
      </w:pPr>
      <w:r>
        <w:rPr>
          <w:rFonts w:ascii="Arial" w:cs="Arial" w:eastAsia="Arial" w:hAnsi="Arial"/>
          <w:b w:val="false"/>
          <w:bCs w:val="false"/>
          <w:color w:val="1A1A1A"/>
          <w:sz w:val="22"/>
          <w:szCs w:val="22"/>
        </w:rPr>
        <w:t xml:space="preserve">Global UI state (cross-view, e.g. selected position, environment toggle) → Zustand</w:t>
      </w:r>
    </w:p>
    <w:p>
      <w:pPr>
        <w:pStyle w:val="ListParagraph"/>
        <w:numPr>
          <w:ilvl w:val="0"/>
          <w:numId w:val="2"/>
        </w:numPr>
        <w:spacing w:before="40" w:after="40"/>
      </w:pPr>
      <w:r>
        <w:rPr>
          <w:rFonts w:ascii="Arial" w:cs="Arial" w:eastAsia="Arial" w:hAnsi="Arial"/>
          <w:b w:val="false"/>
          <w:bCs w:val="false"/>
          <w:color w:val="1A1A1A"/>
          <w:sz w:val="22"/>
          <w:szCs w:val="22"/>
        </w:rPr>
        <w:t xml:space="preserve">Form state (validation, field values) → React Hook Form (via preact/compat)</w:t>
      </w:r>
    </w:p>
    <w:p>
      <w:pPr>
        <w:pStyle w:val="Heading3"/>
        <w:spacing w:before="200" w:after="100"/>
      </w:pPr>
      <w:r>
        <w:rPr>
          <w:rFonts w:ascii="Arial" w:cs="Arial" w:eastAsia="Arial" w:hAnsi="Arial"/>
          <w:b/>
          <w:bCs/>
          <w:color w:val="1F4E79"/>
          <w:sz w:val="22"/>
          <w:szCs w:val="22"/>
        </w:rPr>
        <w:t xml:space="preserve">Why not WebSockets?</w:t>
      </w:r>
    </w:p>
    <w:p>
      <w:pPr>
        <w:spacing w:before="60" w:after="80"/>
      </w:pPr>
      <w:r>
        <w:rPr>
          <w:rFonts w:ascii="Arial" w:cs="Arial" w:eastAsia="Arial" w:hAnsi="Arial"/>
          <w:color w:val="1A1A1A"/>
          <w:sz w:val="22"/>
          <w:szCs w:val="22"/>
        </w:rPr>
        <w:t xml:space="preserve">Alpaca does not push assignment events via WebSocket — polling /v2/activities is the only detection method the API supports. Since polling is unavoidable for the most critical event, a consistent polling model across all data types is simpler and easier to debug than a hybrid push/poll architecture. The 60-second interval is appropriate for the wheel strategy; these are multi-week positions, not intraday scalps.</w:t>
      </w:r>
    </w:p>
    <w:p>
      <w:pPr>
        <w:spacing w:before="60" w:after="80"/>
      </w:pPr>
      <w:r>
        <w:rPr>
          <w:rFonts w:ascii="Arial" w:cs="Arial" w:eastAsia="Arial" w:hAnsi="Arial"/>
          <w:color w:val="1A1A1A"/>
          <w:sz w:val="22"/>
          <w:szCs w:val="22"/>
        </w:rPr>
        <w:t xml:space="preserve">The one exception is Phase 4 order execution: Alpaca’s WebSocket stream is used for real-time order fill callbacks after an order is placed. This is scoped to the order execution module only.</w:t>
      </w:r>
    </w:p>
    <w:p>
      <w:pPr>
        <w:pStyle w:val="Heading2"/>
        <w:spacing w:before="280" w:after="120"/>
      </w:pPr>
      <w:r>
        <w:rPr>
          <w:rFonts w:ascii="Arial" w:cs="Arial" w:eastAsia="Arial" w:hAnsi="Arial"/>
          <w:b/>
          <w:bCs/>
          <w:color w:val="2E75B6"/>
          <w:sz w:val="26"/>
          <w:szCs w:val="26"/>
        </w:rPr>
        <w:t xml:space="preserve">3.2  API Layer</w:t>
      </w:r>
    </w:p>
    <w:p>
      <w:pPr>
        <w:spacing w:before="60" w:after="80"/>
      </w:pPr>
      <w:r>
        <w:rPr>
          <w:rFonts w:ascii="Arial" w:cs="Arial" w:eastAsia="Arial" w:hAnsi="Arial"/>
          <w:color w:val="1A1A1A"/>
          <w:sz w:val="22"/>
          <w:szCs w:val="22"/>
        </w:rPr>
        <w:t xml:space="preserve">The backend is a Python FastAPI application. FastAPI was chosen for its async request handling, auto-generated OpenAPI documentation (useful for front-end development), and strong community support from the Alpaca Python SDK team. All core business logic runs inside this layer.</w:t>
      </w:r>
    </w:p>
    <w:p>
      <w:pPr>
        <w:pStyle w:val="Heading3"/>
        <w:spacing w:before="200" w:after="100"/>
      </w:pPr>
      <w:r>
        <w:rPr>
          <w:rFonts w:ascii="Arial" w:cs="Arial" w:eastAsia="Arial" w:hAnsi="Arial"/>
          <w:b/>
          <w:bCs/>
          <w:color w:val="1F4E79"/>
          <w:sz w:val="22"/>
          <w:szCs w:val="22"/>
        </w:rPr>
        <w:t xml:space="preserve">Core Engines</w:t>
      </w:r>
    </w:p>
    <w:p>
      <w:pPr>
        <w:pStyle w:val="ListParagraph"/>
        <w:numPr>
          <w:ilvl w:val="0"/>
          <w:numId w:val="2"/>
        </w:numPr>
        <w:spacing w:before="40" w:after="40"/>
      </w:pPr>
      <w:r>
        <w:rPr>
          <w:rFonts w:ascii="Arial" w:cs="Arial" w:eastAsia="Arial" w:hAnsi="Arial"/>
          <w:b/>
          <w:bCs/>
          <w:color w:val="1A1A1A"/>
          <w:sz w:val="22"/>
          <w:szCs w:val="22"/>
        </w:rPr>
        <w:t xml:space="preserve">lifecycle.py — Wheel Lifecycle Engine: enforces all valid phase transitions (CSP_OPEN → HOLDING_SHARES → CC_OPEN etc.) and rejects illegal leg additions.</w:t>
      </w:r>
    </w:p>
    <w:p>
      <w:pPr>
        <w:pStyle w:val="ListParagraph"/>
        <w:numPr>
          <w:ilvl w:val="0"/>
          <w:numId w:val="2"/>
        </w:numPr>
        <w:spacing w:before="40" w:after="40"/>
      </w:pPr>
      <w:r>
        <w:rPr>
          <w:rFonts w:ascii="Arial" w:cs="Arial" w:eastAsia="Arial" w:hAnsi="Arial"/>
          <w:b/>
          <w:bCs/>
          <w:color w:val="1A1A1A"/>
          <w:sz w:val="22"/>
          <w:szCs w:val="22"/>
        </w:rPr>
        <w:t xml:space="preserve">costbasis.py — Cost Basis Engine: recalculates and snapshots effective cost basis after every leg event using the formula: assignment_strike − CSP_premiums − CC_premiums + roll_debits − roll_credits.</w:t>
      </w:r>
    </w:p>
    <w:p>
      <w:pPr>
        <w:pStyle w:val="ListParagraph"/>
        <w:numPr>
          <w:ilvl w:val="0"/>
          <w:numId w:val="2"/>
        </w:numPr>
        <w:spacing w:before="40" w:after="40"/>
      </w:pPr>
      <w:r>
        <w:rPr>
          <w:rFonts w:ascii="Arial" w:cs="Arial" w:eastAsia="Arial" w:hAnsi="Arial"/>
          <w:b/>
          <w:bCs/>
          <w:color w:val="1A1A1A"/>
          <w:sz w:val="22"/>
          <w:szCs w:val="22"/>
        </w:rPr>
        <w:t xml:space="preserve">alerts.py — Management Rules Engine: evaluates built-in and user-configured rules against every active position on a configurable poll interval.</w:t>
      </w:r>
    </w:p>
    <w:p>
      <w:pPr>
        <w:pStyle w:val="ListParagraph"/>
        <w:numPr>
          <w:ilvl w:val="0"/>
          <w:numId w:val="2"/>
        </w:numPr>
        <w:spacing w:before="40" w:after="40"/>
      </w:pPr>
      <w:r>
        <w:rPr>
          <w:rFonts w:ascii="Arial" w:cs="Arial" w:eastAsia="Arial" w:hAnsi="Arial"/>
          <w:b/>
          <w:bCs/>
          <w:color w:val="1A1A1A"/>
          <w:sz w:val="22"/>
          <w:szCs w:val="22"/>
        </w:rPr>
        <w:t xml:space="preserve">screener.py — Candidate Screener: queries Alpaca option chains for watchlist tickers and scores candidates against IV rank, delta, DTE, and premium yield criteria (Phase 3).</w:t>
      </w:r>
    </w:p>
    <w:p>
      <w:pPr>
        <w:pStyle w:val="Heading3"/>
        <w:spacing w:before="200" w:after="100"/>
      </w:pPr>
      <w:r>
        <w:rPr>
          <w:rFonts w:ascii="Arial" w:cs="Arial" w:eastAsia="Arial" w:hAnsi="Arial"/>
          <w:b/>
          <w:bCs/>
          <w:color w:val="1F4E79"/>
          <w:sz w:val="22"/>
          <w:szCs w:val="22"/>
        </w:rPr>
        <w:t xml:space="preserve">APScheduler</w:t>
      </w:r>
    </w:p>
    <w:p>
      <w:pPr>
        <w:spacing w:before="60" w:after="80"/>
      </w:pPr>
      <w:r>
        <w:rPr>
          <w:rFonts w:ascii="Arial" w:cs="Arial" w:eastAsia="Arial" w:hAnsi="Arial"/>
          <w:color w:val="1A1A1A"/>
          <w:sz w:val="22"/>
          <w:szCs w:val="22"/>
        </w:rPr>
        <w:t xml:space="preserve">APScheduler runs as a background task inside the FastAPI process, eliminating the need for a separate Celery worker and Redis message broker at this scale. It drives two recurring jobs: Alpaca price and Greeks sync (every 60 seconds during market hours) and assignment detection via /v2/activities polling (every few minutes).</w:t>
      </w:r>
    </w:p>
    <w:p>
      <w:pPr>
        <w:pStyle w:val="Heading2"/>
        <w:spacing w:before="280" w:after="120"/>
      </w:pPr>
      <w:r>
        <w:rPr>
          <w:rFonts w:ascii="Arial" w:cs="Arial" w:eastAsia="Arial" w:hAnsi="Arial"/>
          <w:b/>
          <w:bCs/>
          <w:color w:val="2E75B6"/>
          <w:sz w:val="26"/>
          <w:szCs w:val="26"/>
        </w:rPr>
        <w:t xml:space="preserve">3.3  Database</w:t>
      </w:r>
    </w:p>
    <w:p>
      <w:pPr>
        <w:spacing w:before="60" w:after="80"/>
      </w:pPr>
      <w:r>
        <w:rPr>
          <w:rFonts w:ascii="Arial" w:cs="Arial" w:eastAsia="Arial" w:hAnsi="Arial"/>
          <w:color w:val="1A1A1A"/>
          <w:sz w:val="22"/>
          <w:szCs w:val="22"/>
        </w:rPr>
        <w:t xml:space="preserve">PostgreSQL 16 is the application database. It replaces the SQLite recommendation from the initial spec. The rationale for upgrading is threefold.</w:t>
      </w:r>
    </w:p>
    <w:p>
      <w:pPr>
        <w:pStyle w:val="ListParagraph"/>
        <w:numPr>
          <w:ilvl w:val="0"/>
          <w:numId w:val="2"/>
        </w:numPr>
        <w:spacing w:before="40" w:after="40"/>
      </w:pPr>
      <w:r>
        <w:rPr>
          <w:rFonts w:ascii="Arial" w:cs="Arial" w:eastAsia="Arial" w:hAnsi="Arial"/>
          <w:b w:val="false"/>
          <w:bCs w:val="false"/>
          <w:color w:val="1A1A1A"/>
          <w:sz w:val="22"/>
          <w:szCs w:val="22"/>
        </w:rPr>
        <w:t xml:space="preserve">Concurrent writes: atomic roll operations write two Leg records simultaneously inside a transaction. PostgreSQL handles concurrent writes from the API server and the APScheduler background jobs without the locking limitations of SQLite.</w:t>
      </w:r>
    </w:p>
    <w:p>
      <w:pPr>
        <w:pStyle w:val="ListParagraph"/>
        <w:numPr>
          <w:ilvl w:val="0"/>
          <w:numId w:val="2"/>
        </w:numPr>
        <w:spacing w:before="40" w:after="40"/>
      </w:pPr>
      <w:r>
        <w:rPr>
          <w:rFonts w:ascii="Arial" w:cs="Arial" w:eastAsia="Arial" w:hAnsi="Arial"/>
          <w:b w:val="false"/>
          <w:bCs w:val="false"/>
          <w:color w:val="1A1A1A"/>
          <w:sz w:val="22"/>
          <w:szCs w:val="22"/>
        </w:rPr>
        <w:t xml:space="preserve">JSON support: the greeks_at_open field on the Leg entity and the tags field on Position are stored as JSONB columns, enabling indexed queries on delta or IV values in the analytics layer.</w:t>
      </w:r>
    </w:p>
    <w:p>
      <w:pPr>
        <w:pStyle w:val="ListParagraph"/>
        <w:numPr>
          <w:ilvl w:val="0"/>
          <w:numId w:val="2"/>
        </w:numPr>
        <w:spacing w:before="40" w:after="40"/>
      </w:pPr>
      <w:r>
        <w:rPr>
          <w:rFonts w:ascii="Arial" w:cs="Arial" w:eastAsia="Arial" w:hAnsi="Arial"/>
          <w:b w:val="false"/>
          <w:bCs w:val="false"/>
          <w:color w:val="1A1A1A"/>
          <w:sz w:val="22"/>
          <w:szCs w:val="22"/>
        </w:rPr>
        <w:t xml:space="preserve">Hosting flexibility: PostgreSQL runs identically in a local Docker container, on a managed cloud service (RDS, Supabase, Render), or on a VPS. Migrating from SQLite to PostgreSQL mid-project is painful; starting with PostgreSQL avoids that.</w:t>
      </w:r>
    </w:p>
    <w:p>
      <w:pPr>
        <w:pStyle w:val="Heading3"/>
        <w:spacing w:before="200" w:after="100"/>
      </w:pPr>
      <w:r>
        <w:rPr>
          <w:rFonts w:ascii="Arial" w:cs="Arial" w:eastAsia="Arial" w:hAnsi="Arial"/>
          <w:b/>
          <w:bCs/>
          <w:color w:val="1F4E79"/>
          <w:sz w:val="22"/>
          <w:szCs w:val="22"/>
        </w:rPr>
        <w:t xml:space="preserve">SQLAlchemy + Alembic</w:t>
      </w:r>
    </w:p>
    <w:p>
      <w:pPr>
        <w:spacing w:before="60" w:after="80"/>
      </w:pPr>
      <w:r>
        <w:rPr>
          <w:rFonts w:ascii="Arial" w:cs="Arial" w:eastAsia="Arial" w:hAnsi="Arial"/>
          <w:color w:val="1A1A1A"/>
          <w:sz w:val="22"/>
          <w:szCs w:val="22"/>
        </w:rPr>
        <w:t xml:space="preserve">SQLAlchemy 2.x provides the ORM layer with full async support. All four core entities (Position, Leg, CostBasisSnapshot, Alert) are defined as SQLAlchemy models. Alembic manages schema migrations, with each phase introducing a new migration file.</w:t>
      </w:r>
    </w:p>
    <w:p>
      <w:pPr>
        <w:spacing w:before="60" w:after="80"/>
      </w:pPr>
      <w:r>
        <w:rPr>
          <w:rFonts w:ascii="Arial" w:cs="Arial" w:eastAsia="Arial" w:hAnsi="Arial"/>
          <w:color w:val="1A1A1A"/>
          <w:sz w:val="22"/>
          <w:szCs w:val="22"/>
        </w:rPr>
        <w:t xml:space="preserve">The core business logic engines have no SQLAlchemy imports — they receive plain Python dataclasses and return results. The database layer calls the engines and persists the output. This separation allows the engines to be tested without a database connection.</w:t>
      </w:r>
    </w:p>
    <w:p>
      <w:pPr>
        <w:pStyle w:val="Heading2"/>
        <w:spacing w:before="280" w:after="120"/>
      </w:pPr>
      <w:r>
        <w:rPr>
          <w:rFonts w:ascii="Arial" w:cs="Arial" w:eastAsia="Arial" w:hAnsi="Arial"/>
          <w:b/>
          <w:bCs/>
          <w:color w:val="2E75B6"/>
          <w:sz w:val="26"/>
          <w:szCs w:val="26"/>
        </w:rPr>
        <w:t xml:space="preserve">3.4  Broker Integration</w:t>
      </w:r>
    </w:p>
    <w:p>
      <w:pPr>
        <w:spacing w:before="60" w:after="80"/>
      </w:pPr>
      <w:r>
        <w:rPr>
          <w:rFonts w:ascii="Arial" w:cs="Arial" w:eastAsia="Arial" w:hAnsi="Arial"/>
          <w:color w:val="1A1A1A"/>
          <w:sz w:val="22"/>
          <w:szCs w:val="22"/>
        </w:rPr>
        <w:t xml:space="preserve">All Alpaca API calls are isolated in integrations/alpaca.py. This is the only file that imports alpaca-py. The adapter exposes a clean internal interface that the rest of the application calls; if Alpaca’s API changes or a second broker (IBKR) is added later, only this file requires changes.</w:t>
      </w:r>
    </w:p>
    <w:p>
      <w:pPr>
        <w:pStyle w:val="Heading3"/>
        <w:spacing w:before="200" w:after="100"/>
      </w:pPr>
      <w:r>
        <w:rPr>
          <w:rFonts w:ascii="Arial" w:cs="Arial" w:eastAsia="Arial" w:hAnsi="Arial"/>
          <w:b/>
          <w:bCs/>
          <w:color w:val="1F4E79"/>
          <w:sz w:val="22"/>
          <w:szCs w:val="22"/>
        </w:rPr>
        <w:t xml:space="preserve">Read operations (Phases 2–4)</w:t>
      </w:r>
    </w:p>
    <w:p>
      <w:pPr>
        <w:pStyle w:val="ListParagraph"/>
        <w:numPr>
          <w:ilvl w:val="0"/>
          <w:numId w:val="2"/>
        </w:numPr>
        <w:spacing w:before="40" w:after="40"/>
      </w:pPr>
      <w:r>
        <w:rPr>
          <w:rFonts w:ascii="Arial" w:cs="Arial" w:eastAsia="Arial" w:hAnsi="Arial"/>
          <w:b w:val="false"/>
          <w:bCs w:val="false"/>
          <w:color w:val="1A1A1A"/>
          <w:sz w:val="22"/>
          <w:szCs w:val="22"/>
        </w:rPr>
        <w:t xml:space="preserve">GET /v2/positions — poll every 60 s, detect share position changes signalling assignment</w:t>
      </w:r>
    </w:p>
    <w:p>
      <w:pPr>
        <w:pStyle w:val="ListParagraph"/>
        <w:numPr>
          <w:ilvl w:val="0"/>
          <w:numId w:val="2"/>
        </w:numPr>
        <w:spacing w:before="40" w:after="40"/>
      </w:pPr>
      <w:r>
        <w:rPr>
          <w:rFonts w:ascii="Arial" w:cs="Arial" w:eastAsia="Arial" w:hAnsi="Arial"/>
          <w:b w:val="false"/>
          <w:bCs w:val="false"/>
          <w:color w:val="1A1A1A"/>
          <w:sz w:val="22"/>
          <w:szCs w:val="22"/>
        </w:rPr>
        <w:t xml:space="preserve">GET /v2/options/contracts — option chain data for screener and trade entry</w:t>
      </w:r>
    </w:p>
    <w:p>
      <w:pPr>
        <w:pStyle w:val="ListParagraph"/>
        <w:numPr>
          <w:ilvl w:val="0"/>
          <w:numId w:val="2"/>
        </w:numPr>
        <w:spacing w:before="40" w:after="40"/>
      </w:pPr>
      <w:r>
        <w:rPr>
          <w:rFonts w:ascii="Arial" w:cs="Arial" w:eastAsia="Arial" w:hAnsi="Arial"/>
          <w:b w:val="false"/>
          <w:bCs w:val="false"/>
          <w:color w:val="1A1A1A"/>
          <w:sz w:val="22"/>
          <w:szCs w:val="22"/>
        </w:rPr>
        <w:t xml:space="preserve">GET /v2/options/snapshots — live Greeks, IV, and mid prices for open option legs</w:t>
      </w:r>
    </w:p>
    <w:p>
      <w:pPr>
        <w:pStyle w:val="ListParagraph"/>
        <w:numPr>
          <w:ilvl w:val="0"/>
          <w:numId w:val="2"/>
        </w:numPr>
        <w:spacing w:before="40" w:after="40"/>
      </w:pPr>
      <w:r>
        <w:rPr>
          <w:rFonts w:ascii="Arial" w:cs="Arial" w:eastAsia="Arial" w:hAnsi="Arial"/>
          <w:b w:val="false"/>
          <w:bCs w:val="false"/>
          <w:color w:val="1A1A1A"/>
          <w:sz w:val="22"/>
          <w:szCs w:val="22"/>
        </w:rPr>
        <w:t xml:space="preserve">GET /v2/account — buying power and portfolio value for capital efficiency view</w:t>
      </w:r>
    </w:p>
    <w:p>
      <w:pPr>
        <w:pStyle w:val="ListParagraph"/>
        <w:numPr>
          <w:ilvl w:val="0"/>
          <w:numId w:val="2"/>
        </w:numPr>
        <w:spacing w:before="40" w:after="40"/>
      </w:pPr>
      <w:r>
        <w:rPr>
          <w:rFonts w:ascii="Arial" w:cs="Arial" w:eastAsia="Arial" w:hAnsi="Arial"/>
          <w:b w:val="false"/>
          <w:bCs w:val="false"/>
          <w:color w:val="1A1A1A"/>
          <w:sz w:val="22"/>
          <w:szCs w:val="22"/>
        </w:rPr>
        <w:t xml:space="preserve">GET /v2/activities?activity_type=OPASN — assignment event detection (polled, not pushed)</w:t>
      </w:r>
    </w:p>
    <w:p>
      <w:pPr>
        <w:pStyle w:val="Heading3"/>
        <w:spacing w:before="200" w:after="100"/>
      </w:pPr>
      <w:r>
        <w:rPr>
          <w:rFonts w:ascii="Arial" w:cs="Arial" w:eastAsia="Arial" w:hAnsi="Arial"/>
          <w:b/>
          <w:bCs/>
          <w:color w:val="1F4E79"/>
          <w:sz w:val="22"/>
          <w:szCs w:val="22"/>
        </w:rPr>
        <w:t xml:space="preserve">Write operations (Phase 4 only)</w:t>
      </w:r>
    </w:p>
    <w:p>
      <w:pPr>
        <w:pStyle w:val="ListParagraph"/>
        <w:numPr>
          <w:ilvl w:val="0"/>
          <w:numId w:val="2"/>
        </w:numPr>
        <w:spacing w:before="40" w:after="40"/>
      </w:pPr>
      <w:r>
        <w:rPr>
          <w:rFonts w:ascii="Arial" w:cs="Arial" w:eastAsia="Arial" w:hAnsi="Arial"/>
          <w:b w:val="false"/>
          <w:bCs w:val="false"/>
          <w:color w:val="1A1A1A"/>
          <w:sz w:val="22"/>
          <w:szCs w:val="22"/>
        </w:rPr>
        <w:t xml:space="preserve">POST /v2/orders — single-leg orders (sell CSP, buy-to-close, sell CC)</w:t>
      </w:r>
    </w:p>
    <w:p>
      <w:pPr>
        <w:pStyle w:val="ListParagraph"/>
        <w:numPr>
          <w:ilvl w:val="0"/>
          <w:numId w:val="2"/>
        </w:numPr>
        <w:spacing w:before="40" w:after="40"/>
      </w:pPr>
      <w:r>
        <w:rPr>
          <w:rFonts w:ascii="Arial" w:cs="Arial" w:eastAsia="Arial" w:hAnsi="Arial"/>
          <w:b w:val="false"/>
          <w:bCs w:val="false"/>
          <w:color w:val="1A1A1A"/>
          <w:sz w:val="22"/>
          <w:szCs w:val="22"/>
        </w:rPr>
        <w:t xml:space="preserve">POST /v2/orders with order_class: mleg — multi-leg diagonal spread for PMCC entry</w:t>
      </w:r>
    </w:p>
    <w:p>
      <w:pPr>
        <w:pStyle w:val="ListParagraph"/>
        <w:numPr>
          <w:ilvl w:val="0"/>
          <w:numId w:val="2"/>
        </w:numPr>
        <w:spacing w:before="40" w:after="40"/>
      </w:pPr>
      <w:r>
        <w:rPr>
          <w:rFonts w:ascii="Arial" w:cs="Arial" w:eastAsia="Arial" w:hAnsi="Arial"/>
          <w:b w:val="false"/>
          <w:bCs w:val="false"/>
          <w:color w:val="1A1A1A"/>
          <w:sz w:val="22"/>
          <w:szCs w:val="22"/>
        </w:rPr>
        <w:t xml:space="preserve">WebSocket stream — real-time order fill and status callbacks after order placement</w:t>
      </w:r>
    </w:p>
    <w:p>
      <w:pPr>
        <w:pStyle w:val="Heading3"/>
        <w:spacing w:before="200" w:after="100"/>
      </w:pPr>
      <w:r>
        <w:rPr>
          <w:rFonts w:ascii="Arial" w:cs="Arial" w:eastAsia="Arial" w:hAnsi="Arial"/>
          <w:b/>
          <w:bCs/>
          <w:color w:val="1F4E79"/>
          <w:sz w:val="22"/>
          <w:szCs w:val="22"/>
        </w:rPr>
        <w:t xml:space="preserve">Environment handling</w:t>
      </w:r>
    </w:p>
    <w:p>
      <w:pPr>
        <w:spacing w:before="60" w:after="80"/>
      </w:pPr>
      <w:r>
        <w:rPr>
          <w:rFonts w:ascii="Arial" w:cs="Arial" w:eastAsia="Arial" w:hAnsi="Arial"/>
          <w:color w:val="1A1A1A"/>
          <w:sz w:val="22"/>
          <w:szCs w:val="22"/>
        </w:rPr>
        <w:t xml:space="preserve">Paper trading uses a separate Alpaca endpoint (paper-api.alpaca.markets) and separate credentials. The application config has a clear ALPACA_ENV toggle (paper | live). The UI displays a prominent indicator of the active environment to prevent accidental live order submission.</w:t>
      </w:r>
    </w:p>
    <w:p>
      <w:r>
        <w:br w:type="page"/>
      </w:r>
    </w:p>
    <w:p>
      <w:pPr>
        <w:pStyle w:val="Heading1"/>
        <w:spacing w:before="360" w:after="160"/>
      </w:pPr>
      <w:r>
        <w:rPr>
          <w:rFonts w:ascii="Arial" w:cs="Arial" w:eastAsia="Arial" w:hAnsi="Arial"/>
          <w:b/>
          <w:bCs/>
          <w:color w:val="1F4E79"/>
          <w:sz w:val="32"/>
          <w:szCs w:val="32"/>
        </w:rPr>
        <w:t xml:space="preserve">4. Key Architectural Decisions</w:t>
      </w:r>
    </w:p>
    <w:p>
      <w:pPr>
        <w:pBdr>
          <w:bottom w:val="single" w:color="2E75B6" w:sz="6" w:space="1"/>
        </w:pBdr>
        <w:spacing w:before="60" w:after="200"/>
      </w:pPr>
      <w:r>
        <w:t xml:space="preserve"/>
      </w:r>
    </w:p>
    <w:p>
      <w:pPr>
        <w:spacing w:before="60" w:after="80"/>
      </w:pPr>
      <w:r>
        <w:rPr>
          <w:rFonts w:ascii="Arial" w:cs="Arial" w:eastAsia="Arial" w:hAnsi="Arial"/>
          <w:color w:val="1A1A1A"/>
          <w:sz w:val="22"/>
          <w:szCs w:val="22"/>
        </w:rPr>
        <w:t xml:space="preserve">The table below records the significant design decisions, the alternatives considered, and the rationale for the choice made.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PostgreSQL over SQLite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SQLite is simpler but lacks concurrent write support and robust JSON querying. PostgreSQL is production-ready from day one and avoids a future migration when multi-device or hosted access is needed.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Data fetching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React Query polling over WebSockets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Alpaca does not push assignment events via WebSocket — polling is required regardless. React Query’s configurable refetchInterval (60 s during market hours) covers all Phase 1–3 data needs cleanly.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State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Signals + Zustand over Redux</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app is single-user with modest shared state requirements. Preact Signals (@preact/signals) are the default choice for component- and page-level reactive state — fine-grained, fast, and requiring no provider wrappers. Zustand is reserved for global state shared across multiple views (e.g. selected position, environment toggle). React Query owns all server state.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Background jobs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APScheduler in-process over Celery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At this scale (one user, one broker, ~60 s intervals), embedding APScheduler in the FastAPI process avoids the operational complexity of a separate Celery worker and Redis broker.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Source of truth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Local DB over Alpaca-first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local PostgreSQL database owns position records. Alpaca is the execution layer only. A daily reconciliation job flags discrepancies. This preserves full roll history and cost basis data that Alpaca does not store.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Rolls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Two linked Legs over mutation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Rolls are stored as a roll_from + roll_to Leg pair linked by roll_chain_id, never as an in-place update. The full transaction history is the most valuable long-term asset of the app.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Order execution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Phase 4 deferral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1A1A1A"/>
                <w:sz w:val="20"/>
                <w:szCs w:val="20"/>
              </w:rPr>
              <w:t xml:space="preserve">Write access to Alpaca is deferred to Phase 4. Phases 1–3 use read-only Alpaca integration, reducing risk and allowing the core logic to be validated before live orders are placed.</w:t>
            </w:r>
          </w:p>
        </w:tc>
      </w:tr>
    </w:tbl>
    <w:p>
      <w:pPr>
        <w:pStyle w:val="Heading1"/>
        <w:spacing w:before="360" w:after="160"/>
      </w:pPr>
      <w:r>
        <w:rPr>
          <w:rFonts w:ascii="Arial" w:cs="Arial" w:eastAsia="Arial" w:hAnsi="Arial"/>
          <w:b/>
          <w:bCs/>
          <w:color w:val="1F4E79"/>
          <w:sz w:val="32"/>
          <w:szCs w:val="32"/>
        </w:rPr>
        <w:t xml:space="preserve">5. Repository Structure</w:t>
      </w:r>
    </w:p>
    <w:p>
      <w:pPr>
        <w:pBdr>
          <w:bottom w:val="single" w:color="2E75B6" w:sz="6" w:space="1"/>
        </w:pBdr>
        <w:spacing w:before="60" w:after="200"/>
      </w:pPr>
      <w:r>
        <w:t xml:space="preserve"/>
      </w:r>
    </w:p>
    <w:p>
      <w:pPr>
        <w:spacing w:before="60" w:after="80"/>
      </w:pPr>
      <w:r>
        <w:rPr>
          <w:rFonts w:ascii="Arial" w:cs="Arial" w:eastAsia="Arial" w:hAnsi="Arial"/>
          <w:color w:val="1A1A1A"/>
          <w:sz w:val="22"/>
          <w:szCs w:val="22"/>
        </w:rPr>
        <w:t xml:space="preserve">The application is a monorepo with separate backend and frontend packages. All Alpaca calls are isolated in the integrations directory; the core engines in the core directory have no external dependencies.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8FAFC" w:val="clear"/>
            <w:tcMar>
              <w:top w:type="dxa" w:w="180"/>
              <w:left w:type="dxa" w:w="280"/>
              <w:bottom w:type="dxa" w:w="180"/>
              <w:right w:type="dxa" w:w="280"/>
            </w:tcMar>
          </w:tcPr>
          <w:p>
            <w:pPr>
              <w:spacing w:before="0" w:after="0"/>
            </w:pPr>
            <w:r>
              <w:rPr>
                <w:rFonts w:ascii="Courier New" w:cs="Courier New" w:eastAsia="Courier New" w:hAnsi="Courier New"/>
                <w:color w:val="1A1A1A"/>
                <w:sz w:val="18"/>
                <w:szCs w:val="18"/>
              </w:rPr>
              <w:t xml:space="preserve">/wheel-manager</w:t>
            </w:r>
          </w:p>
          <w:p>
            <w:pPr>
              <w:spacing w:before="0" w:after="0"/>
            </w:pPr>
            <w:r>
              <w:rPr>
                <w:rFonts w:ascii="Courier New" w:cs="Courier New" w:eastAsia="Courier New" w:hAnsi="Courier New"/>
                <w:color w:val="1A1A1A"/>
                <w:sz w:val="18"/>
                <w:szCs w:val="18"/>
              </w:rPr>
              <w:t xml:space="preserve">  /backend</w:t>
            </w:r>
          </w:p>
          <w:p>
            <w:pPr>
              <w:spacing w:before="0" w:after="0"/>
            </w:pPr>
            <w:r>
              <w:rPr>
                <w:rFonts w:ascii="Courier New" w:cs="Courier New" w:eastAsia="Courier New" w:hAnsi="Courier New"/>
                <w:color w:val="1A1A1A"/>
                <w:sz w:val="18"/>
                <w:szCs w:val="18"/>
              </w:rPr>
              <w:t xml:space="preserve">    /api              FastAPI route handlers</w:t>
            </w:r>
          </w:p>
          <w:p>
            <w:pPr>
              <w:spacing w:before="0" w:after="0"/>
            </w:pPr>
            <w:r>
              <w:rPr>
                <w:rFonts w:ascii="Courier New" w:cs="Courier New" w:eastAsia="Courier New" w:hAnsi="Courier New"/>
                <w:color w:val="1A1A1A"/>
                <w:sz w:val="18"/>
                <w:szCs w:val="18"/>
              </w:rPr>
              <w:t xml:space="preserve">    /core</w:t>
            </w:r>
          </w:p>
          <w:p>
            <w:pPr>
              <w:spacing w:before="0" w:after="0"/>
            </w:pPr>
            <w:r>
              <w:rPr>
                <w:rFonts w:ascii="Courier New" w:cs="Courier New" w:eastAsia="Courier New" w:hAnsi="Courier New"/>
                <w:color w:val="1A1A1A"/>
                <w:sz w:val="18"/>
                <w:szCs w:val="18"/>
              </w:rPr>
              <w:t xml:space="preserve">      lifecycle.py    Wheel Lifecycle Engine (no broker imports)</w:t>
            </w:r>
          </w:p>
          <w:p>
            <w:pPr>
              <w:spacing w:before="0" w:after="0"/>
            </w:pPr>
            <w:r>
              <w:rPr>
                <w:rFonts w:ascii="Courier New" w:cs="Courier New" w:eastAsia="Courier New" w:hAnsi="Courier New"/>
                <w:color w:val="1A1A1A"/>
                <w:sz w:val="18"/>
                <w:szCs w:val="18"/>
              </w:rPr>
              <w:t xml:space="preserve">      costbasis.py    Cost Basis Engine (no broker imports)</w:t>
            </w:r>
          </w:p>
          <w:p>
            <w:pPr>
              <w:spacing w:before="0" w:after="0"/>
            </w:pPr>
            <w:r>
              <w:rPr>
                <w:rFonts w:ascii="Courier New" w:cs="Courier New" w:eastAsia="Courier New" w:hAnsi="Courier New"/>
                <w:color w:val="1A1A1A"/>
                <w:sz w:val="18"/>
                <w:szCs w:val="18"/>
              </w:rPr>
              <w:t xml:space="preserve">      alerts.py       Management Rules Engine</w:t>
            </w:r>
          </w:p>
          <w:p>
            <w:pPr>
              <w:spacing w:before="0" w:after="0"/>
            </w:pPr>
            <w:r>
              <w:rPr>
                <w:rFonts w:ascii="Courier New" w:cs="Courier New" w:eastAsia="Courier New" w:hAnsi="Courier New"/>
                <w:color w:val="1A1A1A"/>
                <w:sz w:val="18"/>
                <w:szCs w:val="18"/>
              </w:rPr>
              <w:t xml:space="preserve">      screener.py     Candidate Screener</w:t>
            </w:r>
          </w:p>
          <w:p>
            <w:pPr>
              <w:spacing w:before="0" w:after="0"/>
            </w:pPr>
            <w:r>
              <w:rPr>
                <w:rFonts w:ascii="Courier New" w:cs="Courier New" w:eastAsia="Courier New" w:hAnsi="Courier New"/>
                <w:color w:val="1A1A1A"/>
                <w:sz w:val="18"/>
                <w:szCs w:val="18"/>
              </w:rPr>
              <w:t xml:space="preserve">    /integrations</w:t>
            </w:r>
          </w:p>
          <w:p>
            <w:pPr>
              <w:spacing w:before="0" w:after="0"/>
            </w:pPr>
            <w:r>
              <w:rPr>
                <w:rFonts w:ascii="Courier New" w:cs="Courier New" w:eastAsia="Courier New" w:hAnsi="Courier New"/>
                <w:color w:val="1A1A1A"/>
                <w:sz w:val="18"/>
                <w:szCs w:val="18"/>
              </w:rPr>
              <w:t xml:space="preserve">      alpaca.py       All Alpaca API calls isolated here</w:t>
            </w:r>
          </w:p>
          <w:p>
            <w:pPr>
              <w:spacing w:before="0" w:after="0"/>
            </w:pPr>
            <w:r>
              <w:rPr>
                <w:rFonts w:ascii="Courier New" w:cs="Courier New" w:eastAsia="Courier New" w:hAnsi="Courier New"/>
                <w:color w:val="1A1A1A"/>
                <w:sz w:val="18"/>
                <w:szCs w:val="18"/>
              </w:rPr>
              <w:t xml:space="preserve">    /models           SQLAlchemy ORM models</w:t>
            </w:r>
          </w:p>
          <w:p>
            <w:pPr>
              <w:spacing w:before="0" w:after="0"/>
            </w:pPr>
            <w:r>
              <w:rPr>
                <w:rFonts w:ascii="Courier New" w:cs="Courier New" w:eastAsia="Courier New" w:hAnsi="Courier New"/>
                <w:color w:val="1A1A1A"/>
                <w:sz w:val="18"/>
                <w:szCs w:val="18"/>
              </w:rPr>
              <w:t xml:space="preserve">    /db               Alembic migrations</w:t>
            </w:r>
          </w:p>
          <w:p>
            <w:pPr>
              <w:spacing w:before="0" w:after="0"/>
            </w:pPr>
            <w:r>
              <w:rPr>
                <w:rFonts w:ascii="Courier New" w:cs="Courier New" w:eastAsia="Courier New" w:hAnsi="Courier New"/>
                <w:color w:val="1A1A1A"/>
                <w:sz w:val="18"/>
                <w:szCs w:val="18"/>
              </w:rPr>
              <w:t xml:space="preserve">  /frontend</w:t>
            </w:r>
          </w:p>
          <w:p>
            <w:pPr>
              <w:spacing w:before="0" w:after="0"/>
            </w:pPr>
            <w:r>
              <w:rPr>
                <w:rFonts w:ascii="Courier New" w:cs="Courier New" w:eastAsia="Courier New" w:hAnsi="Courier New"/>
                <w:color w:val="1A1A1A"/>
                <w:sz w:val="18"/>
                <w:szCs w:val="18"/>
              </w:rPr>
              <w:t xml:space="preserve">    /src</w:t>
            </w:r>
          </w:p>
          <w:p>
            <w:pPr>
              <w:spacing w:before="0" w:after="0"/>
            </w:pPr>
            <w:r>
              <w:rPr>
                <w:rFonts w:ascii="Courier New" w:cs="Courier New" w:eastAsia="Courier New" w:hAnsi="Courier New"/>
                <w:color w:val="1A1A1A"/>
                <w:sz w:val="18"/>
                <w:szCs w:val="18"/>
              </w:rPr>
              <w:t xml:space="preserve">      /components     UI components</w:t>
            </w:r>
          </w:p>
          <w:p>
            <w:pPr>
              <w:spacing w:before="0" w:after="0"/>
            </w:pPr>
            <w:r>
              <w:rPr>
                <w:rFonts w:ascii="Courier New" w:cs="Courier New" w:eastAsia="Courier New" w:hAnsi="Courier New"/>
                <w:color w:val="1A1A1A"/>
                <w:sz w:val="18"/>
                <w:szCs w:val="18"/>
              </w:rPr>
              <w:t xml:space="preserve">      /pages          Route-level page components</w:t>
            </w:r>
          </w:p>
          <w:p>
            <w:pPr>
              <w:spacing w:before="0" w:after="0"/>
            </w:pPr>
            <w:r>
              <w:rPr>
                <w:rFonts w:ascii="Courier New" w:cs="Courier New" w:eastAsia="Courier New" w:hAnsi="Courier New"/>
                <w:color w:val="1A1A1A"/>
                <w:sz w:val="18"/>
                <w:szCs w:val="18"/>
              </w:rPr>
              <w:t xml:space="preserve">      /hooks          usePositions, useAlerts, useScreener</w:t>
            </w:r>
          </w:p>
          <w:p>
            <w:pPr>
              <w:spacing w:before="0" w:after="0"/>
            </w:pPr>
            <w:r>
              <w:rPr>
                <w:rFonts w:ascii="Courier New" w:cs="Courier New" w:eastAsia="Courier New" w:hAnsi="Courier New"/>
                <w:color w:val="1A1A1A"/>
                <w:sz w:val="18"/>
                <w:szCs w:val="18"/>
              </w:rPr>
              <w:t xml:space="preserve">      /api            Typed API client (calls FastAPI backend)</w:t>
            </w:r>
          </w:p>
          <w:p>
            <w:pPr>
              <w:spacing w:before="0" w:after="0"/>
            </w:pPr>
            <w:r>
              <w:rPr>
                <w:rFonts w:ascii="Courier New" w:cs="Courier New" w:eastAsia="Courier New" w:hAnsi="Courier New"/>
                <w:color w:val="1A1A1A"/>
                <w:sz w:val="18"/>
                <w:szCs w:val="18"/>
              </w:rPr>
              <w:t xml:space="preserve">  docker-compose.yml  PostgreSQL + FastAPI containers</w:t>
            </w:r>
          </w:p>
          <w:p>
            <w:pPr>
              <w:spacing w:before="0" w:after="0"/>
            </w:pPr>
            <w:r>
              <w:rPr>
                <w:rFonts w:ascii="Courier New" w:cs="Courier New" w:eastAsia="Courier New" w:hAnsi="Courier New"/>
                <w:color w:val="1A1A1A"/>
                <w:sz w:val="18"/>
                <w:szCs w:val="18"/>
              </w:rPr>
              <w:t xml:space="preserve">  .env                API keys (gitignored)</w:t>
            </w:r>
          </w:p>
        </w:tc>
      </w:tr>
    </w:tbl>
    <w:p>
      <w:pPr>
        <w:pStyle w:val="Heading1"/>
        <w:spacing w:before="360" w:after="160"/>
      </w:pPr>
      <w:r>
        <w:rPr>
          <w:rFonts w:ascii="Arial" w:cs="Arial" w:eastAsia="Arial" w:hAnsi="Arial"/>
          <w:b/>
          <w:bCs/>
          <w:color w:val="1F4E79"/>
          <w:sz w:val="32"/>
          <w:szCs w:val="32"/>
        </w:rPr>
        <w:t xml:space="preserve">6. Build Phases</w:t>
      </w:r>
    </w:p>
    <w:p>
      <w:pPr>
        <w:pBdr>
          <w:bottom w:val="single" w:color="2E75B6" w:sz="6" w:space="1"/>
        </w:pBdr>
        <w:spacing w:before="60" w:after="200"/>
      </w:pPr>
      <w:r>
        <w:t xml:space="preserve"/>
      </w:r>
    </w:p>
    <w:p>
      <w:pPr>
        <w:spacing w:before="60" w:after="80"/>
      </w:pPr>
      <w:r>
        <w:rPr>
          <w:rFonts w:ascii="Arial" w:cs="Arial" w:eastAsia="Arial" w:hAnsi="Arial"/>
          <w:color w:val="1A1A1A"/>
          <w:sz w:val="22"/>
          <w:szCs w:val="22"/>
        </w:rPr>
        <w:t xml:space="preserve">Technology complexity is introduced incrementally across five build phases. The goal is to validate the core business logic with minimal dependencies before adding broker connectivity and order execution.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66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6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Phase 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Wks 1–2</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Core engine + manual entry. Data model, Lifecycle Engine, Cost Basis Engine. Manual-only trade entry. No Alpaca connection. Full unit test coverage of cost basis math.</w:t>
            </w:r>
          </w:p>
        </w:tc>
      </w:tr>
      <w:tr>
        <w:tc>
          <w:tcPr>
            <w:tcW w:type="dxa" w:w="1600"/>
            <w:tcBorders>
              <w:top w:val="single" w:color="CCCCCC" w:sz="1"/>
              <w:left w:val="single" w:color="CCCCCC" w:sz="1"/>
              <w:bottom w:val="single" w:color="CCCCCC" w:sz="1"/>
              <w:right w:val="single" w:color="CCCCCC" w:sz="1"/>
            </w:tcBorders>
            <w:shd w:fill="2E86AB" w:val="clear"/>
            <w:tcMar>
              <w:top w:type="dxa" w:w="80"/>
              <w:left w:type="dxa" w:w="140"/>
              <w:bottom w:type="dxa" w:w="80"/>
              <w:right w:type="dxa" w:w="140"/>
            </w:tcMar>
          </w:tcPr>
          <w:p>
            <w:r>
              <w:rPr>
                <w:rFonts w:ascii="Arial" w:cs="Arial" w:eastAsia="Arial" w:hAnsi="Arial"/>
                <w:b/>
                <w:bCs/>
                <w:color w:val="FFFFFF"/>
                <w:sz w:val="20"/>
                <w:szCs w:val="20"/>
              </w:rPr>
              <w:t xml:space="preserve">Phase 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Wks 3–4</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Alpaca read integration + live dashboard. Read-only Alpaca connection for live prices, Greeks, and option snapshots. Assignment detection via /v2/activities polling. Real-time position cards.</w:t>
            </w:r>
          </w:p>
        </w:tc>
      </w:tr>
      <w:tr>
        <w:tc>
          <w:tcPr>
            <w:tcW w:type="dxa" w:w="1600"/>
            <w:tcBorders>
              <w:top w:val="single" w:color="CCCCCC" w:sz="1"/>
              <w:left w:val="single" w:color="CCCCCC" w:sz="1"/>
              <w:bottom w:val="single" w:color="CCCCCC" w:sz="1"/>
              <w:right w:val="single" w:color="CCCCCC" w:sz="1"/>
            </w:tcBorders>
            <w:shd w:fill="1F6B4E" w:val="clear"/>
            <w:tcMar>
              <w:top w:type="dxa" w:w="80"/>
              <w:left w:type="dxa" w:w="140"/>
              <w:bottom w:type="dxa" w:w="80"/>
              <w:right w:type="dxa" w:w="140"/>
            </w:tcMar>
          </w:tcPr>
          <w:p>
            <w:r>
              <w:rPr>
                <w:rFonts w:ascii="Arial" w:cs="Arial" w:eastAsia="Arial" w:hAnsi="Arial"/>
                <w:b/>
                <w:bCs/>
                <w:color w:val="FFFFFF"/>
                <w:sz w:val="20"/>
                <w:szCs w:val="20"/>
              </w:rPr>
              <w:t xml:space="preserve">Phase 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Wks 5–6</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Alert engine + candidate screener. Management Rules Engine with built-in and configurable rules. Screener against Alpaca option chains. Management queue UI.</w:t>
            </w:r>
          </w:p>
        </w:tc>
      </w:tr>
      <w:tr>
        <w:tc>
          <w:tcPr>
            <w:tcW w:type="dxa" w:w="1600"/>
            <w:tcBorders>
              <w:top w:val="single" w:color="CCCCCC" w:sz="1"/>
              <w:left w:val="single" w:color="CCCCCC" w:sz="1"/>
              <w:bottom w:val="single" w:color="CCCCCC" w:sz="1"/>
              <w:right w:val="single" w:color="CCCCCC" w:sz="1"/>
            </w:tcBorders>
            <w:shd w:fill="7B4F9E" w:val="clear"/>
            <w:tcMar>
              <w:top w:type="dxa" w:w="80"/>
              <w:left w:type="dxa" w:w="140"/>
              <w:bottom w:type="dxa" w:w="80"/>
              <w:right w:type="dxa" w:w="140"/>
            </w:tcMar>
          </w:tcPr>
          <w:p>
            <w:r>
              <w:rPr>
                <w:rFonts w:ascii="Arial" w:cs="Arial" w:eastAsia="Arial" w:hAnsi="Arial"/>
                <w:b/>
                <w:bCs/>
                <w:color w:val="FFFFFF"/>
                <w:sz w:val="20"/>
                <w:szCs w:val="20"/>
              </w:rPr>
              <w:t xml:space="preserve">Phase 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Wks 7–9</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Order execution + PMCC support. Alpaca write access for order placement. Roll composite orders. PMCC entry flow and LEAPS-specific alert rules. WebSocket order status feed.</w:t>
            </w:r>
          </w:p>
        </w:tc>
      </w:tr>
      <w:tr>
        <w:tc>
          <w:tcPr>
            <w:tcW w:type="dxa" w:w="1600"/>
            <w:tcBorders>
              <w:top w:val="single" w:color="CCCCCC" w:sz="1"/>
              <w:left w:val="single" w:color="CCCCCC" w:sz="1"/>
              <w:bottom w:val="single" w:color="CCCCCC" w:sz="1"/>
              <w:right w:val="single" w:color="CCCCCC" w:sz="1"/>
            </w:tcBorders>
            <w:shd w:fill="B85C00" w:val="clear"/>
            <w:tcMar>
              <w:top w:type="dxa" w:w="80"/>
              <w:left w:type="dxa" w:w="140"/>
              <w:bottom w:type="dxa" w:w="80"/>
              <w:right w:type="dxa" w:w="140"/>
            </w:tcMar>
          </w:tcPr>
          <w:p>
            <w:r>
              <w:rPr>
                <w:rFonts w:ascii="Arial" w:cs="Arial" w:eastAsia="Arial" w:hAnsi="Arial"/>
                <w:b/>
                <w:bCs/>
                <w:color w:val="FFFFFF"/>
                <w:sz w:val="20"/>
                <w:szCs w:val="20"/>
              </w:rPr>
              <w:t xml:space="preserve">Phase 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Wk 10+</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Analytics. Income dashboard, capital efficiency report, per-wheel P&amp;L waterfall, win/loss analysis. Requires accumulated trade history from earlier phases.</w:t>
            </w:r>
          </w:p>
        </w:tc>
      </w:tr>
    </w:tbl>
    <w:p>
      <w:pPr>
        <w:spacing w:before="200" w:after="200"/>
      </w:pPr>
      <w:r>
        <w:t xml:space="preserve"/>
      </w:r>
    </w:p>
    <w:p>
      <w:pPr>
        <w:jc w:val="center"/>
      </w:pPr>
      <w:r>
        <w:rPr>
          <w:rFonts w:ascii="Arial" w:cs="Arial" w:eastAsia="Arial" w:hAnsi="Arial"/>
          <w:i/>
          <w:iCs/>
          <w:color w:val="888888"/>
          <w:sz w:val="20"/>
          <w:szCs w:val="20"/>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right"/>
    </w:pPr>
    <w:r>
      <w:rPr>
        <w:rFonts w:ascii="Arial" w:cs="Arial" w:eastAsia="Arial" w:hAnsi="Arial"/>
        <w:color w:val="888888"/>
        <w:sz w:val="18"/>
        <w:szCs w:val="18"/>
      </w:rPr>
      <w:t xml:space="preserve">Confidential  •  Version 1.0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888888"/>
        <w:sz w:val="18"/>
        <w:szCs w:val="18"/>
      </w:rPr>
      <w:t xml:space="preserve">Option Wheel Manager  —  Technology Stack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2026-02-26T02:48:58.919Z</dcterms:created>
  <dcterms:modified xsi:type="dcterms:W3CDTF">2026-02-26T02:48:58.919Z</dcterms:modified>
</cp:coreProperties>
</file>

<file path=docProps/custom.xml><?xml version="1.0" encoding="utf-8"?>
<Properties xmlns="http://schemas.openxmlformats.org/officeDocument/2006/custom-properties" xmlns:vt="http://schemas.openxmlformats.org/officeDocument/2006/docPropsVTypes"/>
</file>