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SFC</w:t>
      </w:r>
      <w:r>
        <w:t xml:space="preserve"> </w:t>
      </w:r>
      <w:r>
        <w:t xml:space="preserve">-</w:t>
      </w:r>
      <w:r>
        <w:t xml:space="preserve"> </w:t>
      </w:r>
      <w:r>
        <w:t xml:space="preserve">Wittgenstein</w:t>
      </w:r>
    </w:p>
    <w:p>
      <w:pPr>
        <w:pStyle w:val="Heading2"/>
      </w:pPr>
      <w:bookmarkStart w:id="21" w:name="descripcion-del-seminario"/>
      <w:bookmarkEnd w:id="21"/>
      <w:r>
        <w:t xml:space="preserve">Descripción del seminario</w:t>
      </w:r>
    </w:p>
    <w:p>
      <w:pPr>
        <w:pStyle w:val="FirstParagraph"/>
      </w:pPr>
    </w:p>
    <w:p>
      <w:pPr>
        <w:pStyle w:val="BodyText"/>
      </w:pPr>
      <w:r>
        <w:t xml:space="preserve">Los escritos filosóficos de Wittgenstein ejercen una fascinación especial en quien los lee con paciencia y cuidado. En este seminario, estudiaremos dos: el</w:t>
      </w:r>
      <w:r>
        <w:t xml:space="preserve"> </w:t>
      </w:r>
      <w:r>
        <w:rPr>
          <w:i/>
        </w:rPr>
        <w:t xml:space="preserve">Tractatus Logico-Philosophicus</w:t>
      </w:r>
      <w:r>
        <w:t xml:space="preserve"> </w:t>
      </w:r>
      <w:r>
        <w:t xml:space="preserve">y las</w:t>
      </w:r>
      <w:r>
        <w:t xml:space="preserve"> </w:t>
      </w:r>
      <w:r>
        <w:rPr>
          <w:i/>
        </w:rPr>
        <w:t xml:space="preserve">Investigaciones Filosóficas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Tractactus</w:t>
      </w:r>
      <w:r>
        <w:t xml:space="preserve"> </w:t>
      </w:r>
      <w:r>
        <w:t xml:space="preserve">es una investigación lógica sobre lenguaje enmarcada en la línea de Gottlob Frege y Bertrand Russell; es un texto abstracto, técnico y poco amable con el lector, pero cuya inusual mezcla de lógica, metafísica, y mística se presta para una multiplicidad de interpretaciones y énfasis.</w:t>
      </w:r>
    </w:p>
    <w:p>
      <w:pPr>
        <w:pStyle w:val="BodyText"/>
      </w:pPr>
      <w:r>
        <w:t xml:space="preserve">Las</w:t>
      </w:r>
      <w:r>
        <w:t xml:space="preserve"> </w:t>
      </w:r>
      <w:r>
        <w:rPr>
          <w:i/>
        </w:rPr>
        <w:t xml:space="preserve">Investigaciones</w:t>
      </w:r>
      <w:r>
        <w:rPr>
          <w:i/>
        </w:rPr>
        <w:t xml:space="preserve"> </w:t>
      </w:r>
      <w:r>
        <w:t xml:space="preserve"> </w:t>
      </w:r>
      <w:r>
        <w:t xml:space="preserve">es una investigación sobre el lenguaje y la mente, rica en ejemplos concretos y descriptivos, aunque quizá un tanto enmarañados y que no siempre tienen un propósito filosófico claro; es un rechazo a las posiciones del</w:t>
      </w:r>
      <w:r>
        <w:t xml:space="preserve"> </w:t>
      </w:r>
      <w:r>
        <w:rPr>
          <w:i/>
        </w:rPr>
        <w:t xml:space="preserve">Tractatus</w:t>
      </w:r>
      <w:r>
        <w:t xml:space="preserve"> </w:t>
      </w:r>
      <w:r>
        <w:t xml:space="preserve">y es la obra más influyente de Wittgenstein.</w:t>
      </w:r>
    </w:p>
    <w:p>
      <w:pPr>
        <w:pStyle w:val="BodyText"/>
      </w:pPr>
      <w:r>
        <w:t xml:space="preserve">El estudio de estas dos obras nos ofrece la oportunidad de ver el cambio en la concepción filosófica de Wittgenstein y su particular forma de pensar y hacer filosofía. En la primera parte del seminario, estudiaremos el</w:t>
      </w:r>
      <w:r>
        <w:t xml:space="preserve"> </w:t>
      </w:r>
      <w:r>
        <w:rPr>
          <w:i/>
        </w:rPr>
        <w:t xml:space="preserve">Tractatus</w:t>
      </w:r>
      <w:r>
        <w:t xml:space="preserve"> </w:t>
      </w:r>
      <w:r>
        <w:t xml:space="preserve">de la mano de Tomasini (2017), quien nos ofrecerá una visión sinóptica del libro y con base en la cual podremos realizar una aproximación propia al texto. En la segunda parte del seminario, estudiaremos las</w:t>
      </w:r>
      <w:r>
        <w:t xml:space="preserve"> </w:t>
      </w:r>
      <w:r>
        <w:rPr>
          <w:i/>
        </w:rPr>
        <w:t xml:space="preserve">Investigaciones</w:t>
      </w:r>
      <w:r>
        <w:t xml:space="preserve"> </w:t>
      </w:r>
      <w:r>
        <w:t xml:space="preserve">enfocándonos en pasajes particulares de la obra, buscando entender conceptos centrales como</w:t>
      </w:r>
      <w:r>
        <w:t xml:space="preserve"> </w:t>
      </w:r>
      <w:r>
        <w:t xml:space="preserve">“</w:t>
      </w:r>
      <w:r>
        <w:t xml:space="preserve">juego del lenguaje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regla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representación perspicua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/>
        </w:rPr>
        <w:t xml:space="preserve">Profesor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Juan Camilo Espejo-Serna</w:t>
        </w:r>
      </w:hyperlink>
      <w:r>
        <w:br w:type="textWrapping"/>
      </w:r>
      <w:r>
        <w:rPr>
          <w:b/>
        </w:rPr>
        <w:t xml:space="preserve">Horario y salón</w:t>
      </w:r>
      <w:r>
        <w:t xml:space="preserve">: Martes, 10:00am - 1:00pm. Atelier 103</w:t>
      </w:r>
    </w:p>
    <w:p>
      <w:pPr>
        <w:pStyle w:val="BodyText"/>
      </w:pPr>
      <w:r>
        <w:rPr>
          <w:b/>
        </w:rPr>
        <w:t xml:space="preserve">Página web del curso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http://jcunisabana.github.io/wittgenstein-2019</w:t>
        </w:r>
      </w:hyperlink>
    </w:p>
    <w:p>
      <w:pPr>
        <w:pStyle w:val="Heading2"/>
      </w:pPr>
      <w:bookmarkStart w:id="24" w:name="objetivos"/>
      <w:bookmarkEnd w:id="24"/>
      <w:r>
        <w:t xml:space="preserve">Objetivos</w:t>
      </w:r>
    </w:p>
    <w:p>
      <w:pPr>
        <w:numPr>
          <w:numId w:val="1001"/>
          <w:ilvl w:val="0"/>
        </w:numPr>
      </w:pPr>
      <w:r>
        <w:t xml:space="preserve">Leer críticamente, analizar e interpretar la propuesta filosófica temprana de Ludwig Wittgenstein.</w:t>
      </w:r>
    </w:p>
    <w:p>
      <w:pPr>
        <w:numPr>
          <w:numId w:val="1001"/>
          <w:ilvl w:val="0"/>
        </w:numPr>
      </w:pPr>
      <w:r>
        <w:t xml:space="preserve">Leer críticamente, analizar e interpretar la propuesta filosófica tardía de Ludwig Wittgenstein.</w:t>
      </w:r>
    </w:p>
    <w:p>
      <w:pPr>
        <w:numPr>
          <w:numId w:val="1001"/>
          <w:ilvl w:val="0"/>
        </w:numPr>
      </w:pPr>
      <w:r>
        <w:t xml:space="preserve">Planear y elaborar textos interpretativos y argumentativos con base en las teorías de Ludwig Wittgenstein.</w:t>
      </w:r>
    </w:p>
    <w:p>
      <w:pPr>
        <w:numPr>
          <w:numId w:val="1001"/>
          <w:ilvl w:val="0"/>
        </w:numPr>
      </w:pPr>
      <w:r>
        <w:t xml:space="preserve">Utilizar TIC para apoyar el estudio filosófico de la obra de Ludwig Wittgenstein</w:t>
      </w:r>
    </w:p>
    <w:p>
      <w:pPr>
        <w:pStyle w:val="Heading2"/>
      </w:pPr>
      <w:bookmarkStart w:id="25" w:name="metodologia"/>
      <w:bookmarkEnd w:id="25"/>
      <w:r>
        <w:t xml:space="preserve">Metodología</w:t>
      </w:r>
    </w:p>
    <w:p>
      <w:pPr>
        <w:pStyle w:val="Heading4"/>
      </w:pPr>
      <w:bookmarkStart w:id="26" w:name="antes-de-la-sesion"/>
      <w:bookmarkEnd w:id="26"/>
      <w:r>
        <w:rPr>
          <w:b/>
        </w:rPr>
        <w:t xml:space="preserve">Antes de la sesión</w:t>
      </w:r>
    </w:p>
    <w:p>
      <w:pPr>
        <w:numPr>
          <w:numId w:val="1002"/>
          <w:ilvl w:val="0"/>
        </w:numPr>
      </w:pPr>
      <w:r>
        <w:t xml:space="preserve">Quienes estén a cargo de la presentación oral deberán preparar una exposición de 20-25 minutos de duración.</w:t>
      </w:r>
    </w:p>
    <w:p>
      <w:pPr>
        <w:numPr>
          <w:numId w:val="1002"/>
          <w:ilvl w:val="0"/>
        </w:numPr>
      </w:pPr>
      <w:r>
        <w:t xml:space="preserve">Todos los estudiantes deberán subir un control de lectura por tarde</w:t>
      </w:r>
      <w:r>
        <w:t xml:space="preserve"> </w:t>
      </w:r>
      <w:r>
        <w:rPr>
          <w:b/>
        </w:rPr>
        <w:t xml:space="preserve">75 horas</w:t>
      </w:r>
      <w:r>
        <w:t xml:space="preserve"> </w:t>
      </w:r>
      <w:r>
        <w:t xml:space="preserve">antes de la sesión.</w:t>
      </w:r>
    </w:p>
    <w:p>
      <w:pPr>
        <w:pStyle w:val="Heading4"/>
      </w:pPr>
      <w:bookmarkStart w:id="27" w:name="durante-la-sesion"/>
      <w:bookmarkEnd w:id="27"/>
      <w:r>
        <w:rPr>
          <w:b/>
        </w:rPr>
        <w:t xml:space="preserve">Durante la sesión</w:t>
      </w:r>
    </w:p>
    <w:p>
      <w:pPr>
        <w:numPr>
          <w:numId w:val="1003"/>
          <w:ilvl w:val="0"/>
        </w:numPr>
      </w:pPr>
      <w:r>
        <w:t xml:space="preserve">Quienes esten a cargo de la presentación oral deberán realizar su exposición. Pueden, por ejemplo, escribir un texto para ser leído, o preparar diapositivas para guiar su exposición o utilizar el tablero como apoyo. Es su decisión pero deben tener en cuenta que el objetivo es lograr presentar y explicar el texto correspondiente.</w:t>
      </w:r>
    </w:p>
    <w:p>
      <w:pPr>
        <w:numPr>
          <w:numId w:val="1003"/>
          <w:ilvl w:val="0"/>
        </w:numPr>
      </w:pPr>
      <w:r>
        <w:t xml:space="preserve">Todos deben atender con cuidado a la exposición y formular preguntas al respecto. Revisen si entienden la exposición y si están de acuerdo; pregunten por las relaciones con los temas anteriormente expuestos.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lan-semanal"/>
      <w:bookmarkEnd w:id="28"/>
      <w:r>
        <w:t xml:space="preserve">Plan semanal</w:t>
      </w:r>
    </w:p>
    <w:p>
      <w:pPr>
        <w:pStyle w:val="Heading3"/>
      </w:pPr>
      <w:bookmarkStart w:id="29" w:name="martes-22-enero"/>
      <w:bookmarkEnd w:id="29"/>
      <w:r>
        <w:t xml:space="preserve">Martes 22 Enero</w:t>
      </w:r>
    </w:p>
    <w:p>
      <w:pPr>
        <w:pStyle w:val="FirstParagraph"/>
      </w:pPr>
      <w:r>
        <w:rPr>
          <w:b/>
        </w:rPr>
        <w:t xml:space="preserve">Semana 1</w:t>
      </w:r>
    </w:p>
    <w:p>
      <w:pPr>
        <w:pStyle w:val="BodyText"/>
      </w:pPr>
      <w:r>
        <w:t xml:space="preserve">Vida y obra de Ludwig Wittgenstein.</w:t>
      </w:r>
      <w:r>
        <w:t xml:space="preserve"> </w:t>
      </w:r>
      <w:r>
        <w:t xml:space="preserve">Presentación del programa y las reglas de juego del seminario.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a cargo del profesor: las introducciones del TLP y las IF.</w:t>
      </w:r>
      <w:r>
        <w:t xml:space="preserve"> </w:t>
      </w:r>
      <w:r>
        <w:t xml:space="preserve">Taller de filosofía por recortes.</w:t>
      </w:r>
      <w:r>
        <w:t xml:space="preserve"> </w:t>
      </w:r>
      <w:r>
        <w:t xml:space="preserve">Taller sobre el programa.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Tractatus Logico-Philosophicus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martes-29-enero"/>
      <w:bookmarkEnd w:id="30"/>
      <w:r>
        <w:t xml:space="preserve">Martes 29 Enero</w:t>
      </w:r>
    </w:p>
    <w:p>
      <w:pPr>
        <w:pStyle w:val="FirstParagraph"/>
      </w:pPr>
      <w:r>
        <w:rPr>
          <w:b/>
        </w:rPr>
        <w:t xml:space="preserve">Semana 2</w:t>
      </w:r>
    </w:p>
    <w:p>
      <w:pPr>
        <w:pStyle w:val="BodyText"/>
      </w:pPr>
      <w:r>
        <w:t xml:space="preserve">La multiplicidad de interpretaciones del</w:t>
      </w:r>
      <w:r>
        <w:t xml:space="preserve"> </w:t>
      </w:r>
      <w:r>
        <w:rPr>
          <w:i/>
        </w:rPr>
        <w:t xml:space="preserve">TLP</w:t>
      </w:r>
      <w:r>
        <w:t xml:space="preserve">.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Taller sobre el orden del TLP. Presentación a cargo del profesor.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Tomasini, Cap 2 y Tomasini, Cap 3.</w:t>
      </w:r>
      <w:r>
        <w:t xml:space="preserve"> </w:t>
      </w:r>
      <w:r>
        <w:t xml:space="preserve"> </w:t>
      </w:r>
      <w:r>
        <w:t xml:space="preserve">Control de lectura.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martes-05-febrero"/>
      <w:bookmarkEnd w:id="31"/>
      <w:r>
        <w:t xml:space="preserve">Martes 05 Febrero</w:t>
      </w:r>
    </w:p>
    <w:p>
      <w:pPr>
        <w:pStyle w:val="FirstParagraph"/>
      </w:pPr>
      <w:r>
        <w:rPr>
          <w:b/>
        </w:rPr>
        <w:t xml:space="preserve">Semana 3</w:t>
      </w:r>
    </w:p>
    <w:p>
      <w:pPr>
        <w:pStyle w:val="BodyText"/>
      </w:pPr>
      <w:r>
        <w:t xml:space="preserve">Ontología y lógica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Tomasini, Cap 2 a cargo de (Por definir).</w:t>
      </w:r>
      <w:r>
        <w:t xml:space="preserve">Presentación de Tomasini, Cap 3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Tomasini, Cap 4 y Tomasini, Cap 5.</w:t>
      </w:r>
      <w:r>
        <w:t xml:space="preserve"> </w:t>
      </w:r>
      <w:r>
        <w:t xml:space="preserve"> </w:t>
      </w:r>
      <w:r>
        <w:t xml:space="preserve">Control de lectura.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martes-12-febrero"/>
      <w:bookmarkEnd w:id="32"/>
      <w:r>
        <w:t xml:space="preserve">Martes 12 Febrero</w:t>
      </w:r>
    </w:p>
    <w:p>
      <w:pPr>
        <w:pStyle w:val="FirstParagraph"/>
      </w:pPr>
      <w:r>
        <w:rPr>
          <w:b/>
        </w:rPr>
        <w:t xml:space="preserve">Semana 4</w:t>
      </w:r>
    </w:p>
    <w:p>
      <w:pPr>
        <w:pStyle w:val="BodyText"/>
      </w:pPr>
      <w:r>
        <w:t xml:space="preserve">Lógica, matemáticas y ciencia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Tomasini, Cap 4 a cargo de (Por definir).</w:t>
      </w:r>
      <w:r>
        <w:t xml:space="preserve">Presentación de Tomasini, Cap 5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Tomasini, Cap 6 y Tomasini, Cap 7.</w:t>
      </w:r>
      <w:r>
        <w:t xml:space="preserve"> </w:t>
      </w:r>
      <w:r>
        <w:t xml:space="preserve"> </w:t>
      </w:r>
      <w:r>
        <w:t xml:space="preserve">Control de lectura.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martes-19-febrero"/>
      <w:bookmarkEnd w:id="33"/>
      <w:r>
        <w:t xml:space="preserve">Martes 19 Febrero</w:t>
      </w:r>
    </w:p>
    <w:p>
      <w:pPr>
        <w:pStyle w:val="FirstParagraph"/>
      </w:pPr>
      <w:r>
        <w:rPr>
          <w:b/>
        </w:rPr>
        <w:t xml:space="preserve">Semana 5</w:t>
      </w:r>
    </w:p>
    <w:p>
      <w:pPr>
        <w:pStyle w:val="BodyText"/>
      </w:pPr>
      <w:r>
        <w:t xml:space="preserve">Solipsismo, misticismo y filosofía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Tomasini, Cap 6 a cargo de (Por definir).</w:t>
      </w:r>
      <w:r>
        <w:t xml:space="preserve">Presentación de Tomasini, Cap 7 a cargo de (Por definir).</w:t>
      </w:r>
      <w:r>
        <w:t xml:space="preserve">Presentación de Tomasini, Cap 8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Segunda versión del taller de filosofía por recortes.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martes-26-febrero"/>
      <w:bookmarkEnd w:id="34"/>
      <w:r>
        <w:t xml:space="preserve">Martes 26 Febrero</w:t>
      </w:r>
    </w:p>
    <w:p>
      <w:pPr>
        <w:pStyle w:val="FirstParagraph"/>
      </w:pPr>
      <w:r>
        <w:rPr>
          <w:b/>
        </w:rPr>
        <w:t xml:space="preserve">Semana 6</w:t>
      </w:r>
    </w:p>
    <w:p>
      <w:pPr>
        <w:pStyle w:val="BodyText"/>
      </w:pPr>
      <w:r>
        <w:t xml:space="preserve">Interpretaciones propias del</w:t>
      </w:r>
      <w:r>
        <w:t xml:space="preserve"> </w:t>
      </w:r>
      <w:r>
        <w:rPr>
          <w:i/>
        </w:rPr>
        <w:t xml:space="preserve">TLP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Auto-evaluación y co-evaluación del taller de recortes.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IF Parte I, §§1-88.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martes-05-marzo"/>
      <w:bookmarkEnd w:id="35"/>
      <w:r>
        <w:t xml:space="preserve">Martes 05 Marzo</w:t>
      </w:r>
    </w:p>
    <w:p>
      <w:pPr>
        <w:pStyle w:val="FirstParagraph"/>
      </w:pPr>
      <w:r>
        <w:rPr>
          <w:b/>
        </w:rPr>
        <w:t xml:space="preserve">Semana 7</w:t>
      </w:r>
    </w:p>
    <w:p>
      <w:pPr>
        <w:pStyle w:val="BodyText"/>
      </w:pPr>
      <w:r>
        <w:t xml:space="preserve">Definición ostensiva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IF Parte I, §§1-88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IF Parte I, §§ 89-133.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martes-12-marzo"/>
      <w:bookmarkEnd w:id="36"/>
      <w:r>
        <w:t xml:space="preserve">Martes 12 Marzo</w:t>
      </w:r>
    </w:p>
    <w:p>
      <w:pPr>
        <w:pStyle w:val="FirstParagraph"/>
      </w:pPr>
      <w:r>
        <w:rPr>
          <w:b/>
        </w:rPr>
        <w:t xml:space="preserve">Semana 8</w:t>
      </w:r>
    </w:p>
    <w:p>
      <w:pPr>
        <w:pStyle w:val="BodyText"/>
      </w:pPr>
      <w:r>
        <w:t xml:space="preserve">La noción de filosofía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IF Parte I, §§ 89-133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IF Parte I, §§ 134 - 242.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martes-19-marzo"/>
      <w:bookmarkEnd w:id="37"/>
      <w:r>
        <w:t xml:space="preserve">Martes 19 Marzo</w:t>
      </w:r>
    </w:p>
    <w:p>
      <w:pPr>
        <w:pStyle w:val="FirstParagraph"/>
      </w:pPr>
      <w:r>
        <w:rPr>
          <w:b/>
        </w:rPr>
        <w:t xml:space="preserve">Semana 9</w:t>
      </w:r>
    </w:p>
    <w:p>
      <w:pPr>
        <w:pStyle w:val="BodyText"/>
      </w:pPr>
      <w:r>
        <w:t xml:space="preserve">Seguimiento de reglas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IF Parte I, §§ 134 - 242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IF Parte I, §§ 243 - 275.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martes-26-marzo"/>
      <w:bookmarkEnd w:id="38"/>
      <w:r>
        <w:t xml:space="preserve">Martes 26 Marzo</w:t>
      </w:r>
    </w:p>
    <w:p>
      <w:pPr>
        <w:pStyle w:val="FirstParagraph"/>
      </w:pPr>
      <w:r>
        <w:rPr>
          <w:b/>
        </w:rPr>
        <w:t xml:space="preserve">Semana 10</w:t>
      </w:r>
    </w:p>
    <w:p>
      <w:pPr>
        <w:pStyle w:val="BodyText"/>
      </w:pPr>
      <w:r>
        <w:t xml:space="preserve">Lenguaje privado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IF Parte I, §§ 243 - 275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IF Parte I, §§276 - 307.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martes-02-abril"/>
      <w:bookmarkEnd w:id="39"/>
      <w:r>
        <w:t xml:space="preserve">Martes 02 Abril</w:t>
      </w:r>
    </w:p>
    <w:p>
      <w:pPr>
        <w:pStyle w:val="FirstParagraph"/>
      </w:pPr>
      <w:r>
        <w:rPr>
          <w:b/>
        </w:rPr>
        <w:t xml:space="preserve">Semana 11</w:t>
      </w:r>
    </w:p>
    <w:p>
      <w:pPr>
        <w:pStyle w:val="BodyText"/>
      </w:pPr>
      <w:r>
        <w:t xml:space="preserve">Lo interno y lo externo.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IF Parte I, §§276 - 307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IF Parte II, 11.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martes-09-abril"/>
      <w:bookmarkEnd w:id="40"/>
      <w:r>
        <w:t xml:space="preserve">Martes 09 Abril</w:t>
      </w:r>
    </w:p>
    <w:p>
      <w:pPr>
        <w:pStyle w:val="FirstParagraph"/>
      </w:pPr>
      <w:r>
        <w:rPr>
          <w:b/>
        </w:rPr>
        <w:t xml:space="preserve">Semana 12</w:t>
      </w:r>
    </w:p>
    <w:p>
      <w:pPr>
        <w:pStyle w:val="BodyText"/>
      </w:pPr>
      <w:r>
        <w:t xml:space="preserve">Ver y ver como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IF Parte II, 11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Escribir</w:t>
      </w:r>
      <w:r>
        <w:t xml:space="preserve"> </w:t>
      </w:r>
      <w:r>
        <w:rPr>
          <w:b/>
        </w:rPr>
        <w:t xml:space="preserve">dos páginas</w:t>
      </w:r>
      <w:r>
        <w:t xml:space="preserve"> </w:t>
      </w:r>
      <w:r>
        <w:t xml:space="preserve">en respuesta a alguna de las preguntas pre-establecidas.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martes-16-abril"/>
      <w:bookmarkEnd w:id="41"/>
      <w:r>
        <w:t xml:space="preserve">Martes 16 Abril</w:t>
      </w:r>
    </w:p>
    <w:p>
      <w:pPr>
        <w:pStyle w:val="FirstParagraph"/>
      </w:pPr>
      <w:r>
        <w:rPr>
          <w:b/>
        </w:rPr>
        <w:t xml:space="preserve">Semana 13</w:t>
      </w:r>
    </w:p>
    <w:p>
      <w:pPr>
        <w:pStyle w:val="BodyText"/>
      </w:pPr>
      <w:r>
        <w:t xml:space="preserve">NO HAY SESIÓN (Semana Santa)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–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(Comentarista).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martes-23-abril"/>
      <w:bookmarkEnd w:id="42"/>
      <w:r>
        <w:t xml:space="preserve">Martes 23 Abril</w:t>
      </w:r>
    </w:p>
    <w:p>
      <w:pPr>
        <w:pStyle w:val="FirstParagraph"/>
      </w:pPr>
      <w:r>
        <w:rPr>
          <w:b/>
        </w:rPr>
        <w:t xml:space="preserve">Semana 14</w:t>
      </w:r>
    </w:p>
    <w:p>
      <w:pPr>
        <w:pStyle w:val="BodyText"/>
      </w:pPr>
      <w:r>
        <w:t xml:space="preserve">(Por definir)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(Comentarista)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(Comentarista).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martes-30-abril"/>
      <w:bookmarkEnd w:id="43"/>
      <w:r>
        <w:t xml:space="preserve">Martes 30 Abril</w:t>
      </w:r>
    </w:p>
    <w:p>
      <w:pPr>
        <w:pStyle w:val="FirstParagraph"/>
      </w:pPr>
      <w:r>
        <w:rPr>
          <w:b/>
        </w:rPr>
        <w:t xml:space="preserve">Semana 15</w:t>
      </w:r>
    </w:p>
    <w:p>
      <w:pPr>
        <w:pStyle w:val="BodyText"/>
      </w:pPr>
      <w:r>
        <w:t xml:space="preserve">(Por definir)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(Comentarista)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(Comentarista).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" w:name="martes-07-mayo"/>
      <w:bookmarkEnd w:id="44"/>
      <w:r>
        <w:t xml:space="preserve">Martes 07 Mayo</w:t>
      </w:r>
    </w:p>
    <w:p>
      <w:pPr>
        <w:pStyle w:val="FirstParagraph"/>
      </w:pPr>
      <w:r>
        <w:rPr>
          <w:b/>
        </w:rPr>
        <w:t xml:space="preserve">Semana 16</w:t>
      </w:r>
    </w:p>
    <w:p>
      <w:pPr>
        <w:pStyle w:val="BodyText"/>
      </w:pPr>
      <w:r>
        <w:t xml:space="preserve">(Por definir)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(Comentarista)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Leer (Comentarista).</w:t>
      </w:r>
      <w:r>
        <w:t xml:space="preserve"> </w:t>
      </w:r>
      <w:r>
        <w:t xml:space="preserve">Control de lectura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5" w:name="martes-14-mayo"/>
      <w:bookmarkEnd w:id="45"/>
      <w:r>
        <w:t xml:space="preserve">Martes 14 Mayo</w:t>
      </w:r>
    </w:p>
    <w:p>
      <w:pPr>
        <w:pStyle w:val="FirstParagraph"/>
      </w:pPr>
      <w:r>
        <w:rPr>
          <w:b/>
        </w:rPr>
        <w:t xml:space="preserve">Semana 17</w:t>
      </w:r>
    </w:p>
    <w:p>
      <w:pPr>
        <w:pStyle w:val="BodyText"/>
      </w:pPr>
      <w:r>
        <w:t xml:space="preserve">(Por definir)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Presentación de (Comentarista) a cargo de (Por definir).</w:t>
      </w:r>
    </w:p>
    <w:p>
      <w:pPr>
        <w:pStyle w:val="BodyText"/>
      </w:pPr>
      <w:r>
        <w:rPr>
          <w:i/>
        </w:rPr>
        <w:t xml:space="preserve">Para la próxima</w:t>
      </w:r>
    </w:p>
    <w:p>
      <w:pPr>
        <w:pStyle w:val="BodyText"/>
      </w:pPr>
      <w:r>
        <w:t xml:space="preserve">Revisión final del ensayo final.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martes-21-mayo"/>
      <w:bookmarkEnd w:id="46"/>
      <w:r>
        <w:t xml:space="preserve">Martes 21 Mayo</w:t>
      </w:r>
    </w:p>
    <w:p>
      <w:pPr>
        <w:pStyle w:val="FirstParagraph"/>
      </w:pPr>
      <w:r>
        <w:rPr>
          <w:b/>
        </w:rPr>
        <w:t xml:space="preserve">Semana 18</w:t>
      </w:r>
    </w:p>
    <w:p>
      <w:pPr>
        <w:pStyle w:val="BodyText"/>
      </w:pPr>
      <w:r>
        <w:rPr>
          <w:i/>
        </w:rPr>
        <w:t xml:space="preserve">Actividades</w:t>
      </w:r>
    </w:p>
    <w:p>
      <w:pPr>
        <w:pStyle w:val="BodyText"/>
      </w:pPr>
      <w:r>
        <w:t xml:space="preserve">Entrega de ensayo final</w:t>
      </w:r>
    </w:p>
    <w:p>
      <w:pPr>
        <w:pStyle w:val="Heading2"/>
      </w:pPr>
      <w:bookmarkStart w:id="47" w:name="evaluacion"/>
      <w:bookmarkEnd w:id="47"/>
      <w:r>
        <w:t xml:space="preserve">Evaluación</w:t>
      </w:r>
    </w:p>
    <w:p>
      <w:pPr>
        <w:pStyle w:val="Heading4"/>
      </w:pPr>
      <w:bookmarkStart w:id="48" w:name="talleres"/>
      <w:bookmarkEnd w:id="48"/>
      <w:r>
        <w:rPr>
          <w:b/>
        </w:rPr>
        <w:t xml:space="preserve">Talleres</w:t>
      </w:r>
    </w:p>
    <w:p>
      <w:pPr>
        <w:pStyle w:val="FirstParagraph"/>
      </w:pPr>
      <w:r>
        <w:t xml:space="preserve">Actividades para realizar en casa y en clase que servirán de pasos intermedios en el aprendizaje. En clase se ofrecerán las instrucciones más precisas cuando llegue el momento de cada taller.</w:t>
      </w:r>
    </w:p>
    <w:p>
      <w:pPr>
        <w:pStyle w:val="Heading4"/>
      </w:pPr>
      <w:bookmarkStart w:id="49" w:name="presentacion-oral"/>
      <w:bookmarkEnd w:id="49"/>
      <w:r>
        <w:rPr>
          <w:b/>
        </w:rPr>
        <w:t xml:space="preserve">Presentación oral</w:t>
      </w:r>
    </w:p>
    <w:p>
      <w:pPr>
        <w:pStyle w:val="FirstParagraph"/>
      </w:pPr>
      <w:r>
        <w:t xml:space="preserve">Extensión: entre 20 y 25 minutos.</w:t>
      </w:r>
    </w:p>
    <w:p>
      <w:pPr>
        <w:pStyle w:val="BodyText"/>
      </w:pPr>
      <w:r>
        <w:t xml:space="preserve">La presentación debe 1) tener una reseña crítica del texto asignado y 2) ofrecer puntos para la discusión. Ustedes son los encargados de la sesión durante el tiempo asignado; es su deber coordinar la dinámica durante ese tiempo.</w:t>
      </w:r>
    </w:p>
    <w:p>
      <w:pPr>
        <w:pStyle w:val="Heading4"/>
      </w:pPr>
      <w:bookmarkStart w:id="50" w:name="control-de-lectura"/>
      <w:bookmarkEnd w:id="50"/>
      <w:r>
        <w:rPr>
          <w:b/>
        </w:rPr>
        <w:t xml:space="preserve">Control de lectura</w:t>
      </w:r>
    </w:p>
    <w:p>
      <w:pPr>
        <w:pStyle w:val="FirstParagraph"/>
      </w:pPr>
      <w:r>
        <w:t xml:space="preserve">Extensión: entre 400 y 1000 palabras.</w:t>
      </w:r>
    </w:p>
    <w:p>
      <w:pPr>
        <w:pStyle w:val="BodyText"/>
      </w:pPr>
      <w:r>
        <w:t xml:space="preserve">Para cada lectura asignada, los estudiantes deben escribir un texto corto con la tesis principal, tres afirmaciones/presuposiciones del texto y tres preguntas/desafíos al texto.</w:t>
      </w:r>
    </w:p>
    <w:p>
      <w:pPr>
        <w:pStyle w:val="BodyText"/>
      </w:pPr>
      <w:r>
        <w:t xml:space="preserve">Los controles deberán ser subidos a la plataforma virtual a más tardar</w:t>
      </w:r>
      <w:r>
        <w:t xml:space="preserve"> </w:t>
      </w:r>
      <w:r>
        <w:rPr>
          <w:b/>
        </w:rPr>
        <w:t xml:space="preserve">75 horas</w:t>
      </w:r>
      <w:r>
        <w:t xml:space="preserve"> </w:t>
      </w:r>
      <w:r>
        <w:t xml:space="preserve">antes de la sesión. Todos los estudiantes empiezan con 5.0 en esta nota; por cada vez que no se participe dentro del rango de tiempo especificado, la nota será disminuida de acuerdo con los siguientes parámetros: primera vez: -0.5; segunda vez: -1.0; tercera vez: -1.5; cuarta vez: -2.0.</w:t>
      </w:r>
    </w:p>
    <w:p>
      <w:pPr>
        <w:pStyle w:val="BodyText"/>
      </w:pPr>
      <w:r>
        <w:t xml:space="preserve">Todos tienen un control de lectura</w:t>
      </w:r>
      <w:r>
        <w:t xml:space="preserve"> </w:t>
      </w:r>
      <w:r>
        <w:t xml:space="preserve">“</w:t>
      </w:r>
      <w:r>
        <w:t xml:space="preserve">de gracia</w:t>
      </w:r>
      <w:r>
        <w:t xml:space="preserve">”</w:t>
      </w:r>
      <w:r>
        <w:t xml:space="preserve">. Es decir, pueden dejar de entregar uno sin problema; el primer control de lectura que les falte no cuenta. Por ejemplo, si no entregan el control de lectura de la sesión en la que tienen que hacer la presentación y entregan todos los demás, su nota igual queda en 5.0.</w:t>
      </w:r>
    </w:p>
    <w:p>
      <w:pPr>
        <w:pStyle w:val="Heading4"/>
      </w:pPr>
      <w:bookmarkStart w:id="51" w:name="ensayo-argumentativo"/>
      <w:bookmarkEnd w:id="51"/>
      <w:r>
        <w:rPr>
          <w:b/>
        </w:rPr>
        <w:t xml:space="preserve">Ensayo argumentativo</w:t>
      </w:r>
    </w:p>
    <w:p>
      <w:pPr>
        <w:pStyle w:val="FirstParagraph"/>
      </w:pPr>
      <w:r>
        <w:t xml:space="preserve">Extensión: entre 2000 y 3500 palabras.</w:t>
      </w:r>
    </w:p>
    <w:p>
      <w:pPr>
        <w:pStyle w:val="BodyText"/>
      </w:pPr>
      <w:r>
        <w:t xml:space="preserve">Un texto argumentativo de en donde se responda a una pregunta. Se debe hacer uso de literatura secundaria de acuerdo con las normas de citación. En clase se ofrecerán las instrucciones más precisas cuando llegue el momento.</w:t>
      </w:r>
    </w:p>
    <w:p>
      <w:pPr>
        <w:pStyle w:val="Heading4"/>
      </w:pPr>
      <w:bookmarkStart w:id="52" w:name="calificacion"/>
      <w:bookmarkEnd w:id="52"/>
      <w:r>
        <w:rPr>
          <w:b/>
        </w:rPr>
        <w:t xml:space="preserve">Calificación</w:t>
      </w:r>
    </w:p>
    <w:p>
      <w:pPr>
        <w:pStyle w:val="Compact"/>
      </w:pPr>
      <w:r>
        <w:t xml:space="preserve">Actividad</w:t>
      </w:r>
    </w:p>
    <w:p>
      <w:pPr>
        <w:pStyle w:val="Compact"/>
      </w:pPr>
      <w:r>
        <w:t xml:space="preserve">%</w:t>
      </w:r>
    </w:p>
    <w:p>
      <w:pPr>
        <w:pStyle w:val="Compact"/>
      </w:pPr>
      <w:r>
        <w:t xml:space="preserve">Corte</w:t>
      </w:r>
    </w:p>
    <w:p>
      <w:pPr>
        <w:pStyle w:val="Compact"/>
      </w:pPr>
      <w:r>
        <w:t xml:space="preserve">Taller sobre el programa</w:t>
      </w:r>
    </w:p>
    <w:p>
      <w:pPr>
        <w:pStyle w:val="Compact"/>
      </w:pPr>
      <w:r>
        <w:t xml:space="preserve">3%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Presentación oral</w:t>
      </w:r>
    </w:p>
    <w:p>
      <w:pPr>
        <w:pStyle w:val="Compact"/>
      </w:pPr>
      <w:r>
        <w:t xml:space="preserve">6%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Auto-evaluación filosofía por recortes</w:t>
      </w:r>
    </w:p>
    <w:p>
      <w:pPr>
        <w:pStyle w:val="Compact"/>
      </w:pPr>
      <w:r>
        <w:t xml:space="preserve">3%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Co-evaluación filosofía por recortes</w:t>
      </w:r>
    </w:p>
    <w:p>
      <w:pPr>
        <w:pStyle w:val="Compact"/>
      </w:pPr>
      <w:r>
        <w:t xml:space="preserve">3%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Controles de lectura</w:t>
      </w:r>
    </w:p>
    <w:p>
      <w:pPr>
        <w:pStyle w:val="Compact"/>
      </w:pPr>
      <w:r>
        <w:t xml:space="preserve">15%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Controles de lectura</w:t>
      </w:r>
    </w:p>
    <w:p>
      <w:pPr>
        <w:pStyle w:val="Compact"/>
      </w:pPr>
      <w:r>
        <w:t xml:space="preserve">15%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Presentación oral</w:t>
      </w:r>
    </w:p>
    <w:p>
      <w:pPr>
        <w:pStyle w:val="Compact"/>
      </w:pPr>
      <w:r>
        <w:t xml:space="preserve">15%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Primer borrador ensayo final</w:t>
      </w:r>
    </w:p>
    <w:p>
      <w:pPr>
        <w:pStyle w:val="Compact"/>
      </w:pPr>
      <w:r>
        <w:t xml:space="preserve">8%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Controles de lectura</w:t>
      </w:r>
    </w:p>
    <w:p>
      <w:pPr>
        <w:pStyle w:val="Compact"/>
      </w:pPr>
      <w:r>
        <w:t xml:space="preserve">8%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Ensayo final</w:t>
      </w:r>
    </w:p>
    <w:p>
      <w:pPr>
        <w:pStyle w:val="Compact"/>
      </w:pPr>
      <w:r>
        <w:t xml:space="preserve">24%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rPr>
          <w:b/>
        </w:rPr>
        <w:t xml:space="preserve">Toda</w:t>
      </w:r>
      <w:r>
        <w:t xml:space="preserve"> </w:t>
      </w:r>
      <w:r>
        <w:t xml:space="preserve">entrega tarde injustificada verá la nota disminuida en 0.5 unidades por cada día tarde. No haber entregado antes de la hora acordada equivale a entregar un día tarde.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18f7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508d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index.html" TargetMode="External" /><Relationship Type="http://schemas.openxmlformats.org/officeDocument/2006/relationships/hyperlink" Id="rId23" Target="http://jcunisabana.github.io/wittgenstein-20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3" Target="http://jcunisabana.github.io/wittgenstein-20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SFC - Wittgenstein</dc:title>
  <dc:creator/>
  <dcterms:created xsi:type="dcterms:W3CDTF">2019-01-17T16:57:26Z</dcterms:created>
  <dcterms:modified xsi:type="dcterms:W3CDTF">2019-01-17T16:57:26Z</dcterms:modified>
</cp:coreProperties>
</file>