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B"/>
          <w:sz w:val="42"/>
          <w:szCs w:val="42"/>
        </w:rPr>
        <w:t xml:space="preserve">Fireside Questions — Split by Company</w:t>
      </w:r>
    </w:p>
    <w:p>
      <w:pPr>
        <w:spacing w:after="40"/>
      </w:pPr>
      <w:r>
        <w:rPr>
          <w:color w:val="2E7D8A"/>
          <w:sz w:val="24"/>
          <w:szCs w:val="24"/>
        </w:rPr>
        <w:t xml:space="preserve">Two separate 30-min calls  ·  Mercy BioAnalytics + Cleveland Diagnostics</w:t>
      </w:r>
    </w:p>
    <w:p>
      <w:pPr>
        <w:spacing w:after="160"/>
      </w:pPr>
      <w:r>
        <w:rPr>
          <w:i/>
          <w:iCs/>
          <w:color w:val="666666"/>
          <w:sz w:val="20"/>
          <w:szCs w:val="20"/>
        </w:rPr>
        <w:t xml:space="preserve">Questions only. Each company has its own thematic roadmap, primary questions (~30 min), and backups. A shared crossover set at the end works for either call. Every metric double-verified against primary sources (peer-reviewed journals, FDA/regulatory coverage, company releases); citation links follow each question.</w:t>
      </w:r>
    </w:p>
    <w:p>
      <w:pPr>
        <w:pBdr>
          <w:bottom w:val="single" w:color="2E7D8A" w:sz="8" w:space="1"/>
        </w:pBdr>
        <w:spacing w:after="120"/>
      </w:pPr>
      <w:r>
        <w:t xml:space="preserve"/>
      </w:r>
    </w:p>
    <w:p>
      <w:pPr>
        <w:pStyle w:val="Heading1"/>
        <w:spacing w:after="120" w:before="240"/>
      </w:pPr>
      <w:r>
        <w:rPr>
          <w:b/>
          <w:bCs/>
          <w:color w:val="6A2C70"/>
          <w:sz w:val="34"/>
          <w:szCs w:val="34"/>
        </w:rPr>
        <w:t xml:space="preserve">Call 1 — Mercy BioAnalytics</w:t>
      </w:r>
    </w:p>
    <w:p>
      <w:pPr>
        <w:spacing w:after="100"/>
      </w:pPr>
      <w:r>
        <w:rPr>
          <w:i/>
          <w:iCs/>
          <w:color w:val="666666"/>
          <w:sz w:val="20"/>
          <w:szCs w:val="20"/>
        </w:rPr>
        <w:t xml:space="preserve">The early-detection / screening story: find cancer sooner. Lead product Evident (ovarian) is in an Early Access Program under CLIA; lung is the next program. Strongest asset is standout ovarian specificity in blinded trial-biobank data; the hard questions are prospective validation, regulatory path beyond CLIA, and reimbursement.</w:t>
      </w:r>
    </w:p>
    <w:p>
      <w:pPr>
        <w:pStyle w:val="Heading3"/>
        <w:spacing w:after="50" w:before="150"/>
      </w:pPr>
      <w:r>
        <w:rPr>
          <w:b/>
          <w:bCs/>
          <w:color w:val="6A2C70"/>
          <w:sz w:val="22"/>
          <w:szCs w:val="22"/>
        </w:rPr>
        <w:t xml:space="preserve">Roadmap — themes for this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3400"/>
        <w:gridCol w:w="5440"/>
      </w:tblGrid>
      <w:tr>
        <w:trPr>
          <w:tblHeader/>
        </w:trPr>
        <w:tc>
          <w:tcPr>
            <w:tcW w:type="dxa" w:w="520"/>
            <w:shd w:fill="6A2C70" w:color="auto" w:val="clear"/>
            <w:tcMar>
              <w:top w:type="dxa" w:w="50"/>
              <w:left w:type="dxa" w:w="110"/>
              <w:bottom w:type="dxa" w:w="50"/>
              <w:right w:type="dxa" w:w="110"/>
            </w:tcMar>
          </w:tcPr>
          <w:p>
            <w:r>
              <w:rPr>
                <w:b/>
                <w:bCs/>
                <w:color w:val="FFFFFF"/>
                <w:sz w:val="18"/>
                <w:szCs w:val="18"/>
              </w:rPr>
              <w:t xml:space="preserve">#</w:t>
            </w:r>
          </w:p>
        </w:tc>
        <w:tc>
          <w:tcPr>
            <w:tcW w:type="dxa" w:w="3400"/>
            <w:shd w:fill="6A2C70" w:color="auto" w:val="clear"/>
            <w:tcMar>
              <w:top w:type="dxa" w:w="50"/>
              <w:left w:type="dxa" w:w="110"/>
              <w:bottom w:type="dxa" w:w="50"/>
              <w:right w:type="dxa" w:w="110"/>
            </w:tcMar>
          </w:tcPr>
          <w:p>
            <w:r>
              <w:rPr>
                <w:b/>
                <w:bCs/>
                <w:color w:val="FFFFFF"/>
                <w:sz w:val="18"/>
                <w:szCs w:val="18"/>
              </w:rPr>
              <w:t xml:space="preserve">Theme</w:t>
            </w:r>
          </w:p>
        </w:tc>
        <w:tc>
          <w:tcPr>
            <w:tcW w:type="dxa" w:w="5440"/>
            <w:shd w:fill="6A2C70" w:color="auto" w:val="clear"/>
            <w:tcMar>
              <w:top w:type="dxa" w:w="50"/>
              <w:left w:type="dxa" w:w="110"/>
              <w:bottom w:type="dxa" w:w="50"/>
              <w:right w:type="dxa" w:w="110"/>
            </w:tcMar>
          </w:tcPr>
          <w:p>
            <w:r>
              <w:rPr>
                <w:b/>
                <w:bCs/>
                <w:color w:val="FFFFFF"/>
                <w:sz w:val="18"/>
                <w:szCs w:val="18"/>
              </w:rPr>
              <w:t xml:space="preserve">What it covers</w:t>
            </w:r>
          </w:p>
        </w:tc>
      </w:tr>
      <w:tr>
        <w:tc>
          <w:tcPr>
            <w:tcW w:type="dxa" w:w="520"/>
            <w:shd w:fill="F1E9F3" w:color="auto" w:val="clear"/>
            <w:tcMar>
              <w:top w:type="dxa" w:w="50"/>
              <w:left w:type="dxa" w:w="110"/>
              <w:bottom w:type="dxa" w:w="50"/>
              <w:right w:type="dxa" w:w="110"/>
            </w:tcMar>
          </w:tcPr>
          <w:p>
            <w:r>
              <w:rPr>
                <w:b/>
                <w:bCs/>
                <w:color w:val="000000"/>
                <w:sz w:val="18"/>
                <w:szCs w:val="18"/>
              </w:rPr>
              <w:t xml:space="preserve">A</w:t>
            </w:r>
          </w:p>
        </w:tc>
        <w:tc>
          <w:tcPr>
            <w:tcW w:type="dxa" w:w="3400"/>
            <w:tcMar>
              <w:top w:type="dxa" w:w="50"/>
              <w:left w:type="dxa" w:w="110"/>
              <w:bottom w:type="dxa" w:w="50"/>
              <w:right w:type="dxa" w:w="110"/>
            </w:tcMar>
          </w:tcPr>
          <w:p>
            <w:r>
              <w:rPr>
                <w:b/>
                <w:bCs/>
                <w:color w:val="6A2C70"/>
                <w:sz w:val="18"/>
                <w:szCs w:val="18"/>
              </w:rPr>
              <w:t xml:space="preserve">Science &amp; differentiation</w:t>
            </w:r>
          </w:p>
        </w:tc>
        <w:tc>
          <w:tcPr>
            <w:tcW w:type="dxa" w:w="5440"/>
            <w:tcMar>
              <w:top w:type="dxa" w:w="50"/>
              <w:left w:type="dxa" w:w="110"/>
              <w:bottom w:type="dxa" w:w="50"/>
              <w:right w:type="dxa" w:w="110"/>
            </w:tcMar>
          </w:tcPr>
          <w:p>
            <w:r>
              <w:rPr>
                <w:b w:val="false"/>
                <w:bCs w:val="false"/>
                <w:color w:val="000000"/>
                <w:sz w:val="18"/>
                <w:szCs w:val="18"/>
              </w:rPr>
              <w:t xml:space="preserve">Why EV/EVP biology over cfDNA; how co-localization drives specificity</w:t>
            </w:r>
          </w:p>
        </w:tc>
      </w:tr>
      <w:tr>
        <w:tc>
          <w:tcPr>
            <w:tcW w:type="dxa" w:w="520"/>
            <w:shd w:fill="F1E9F3" w:color="auto" w:val="clear"/>
            <w:tcMar>
              <w:top w:type="dxa" w:w="50"/>
              <w:left w:type="dxa" w:w="110"/>
              <w:bottom w:type="dxa" w:w="50"/>
              <w:right w:type="dxa" w:w="110"/>
            </w:tcMar>
          </w:tcPr>
          <w:p>
            <w:r>
              <w:rPr>
                <w:b/>
                <w:bCs/>
                <w:color w:val="000000"/>
                <w:sz w:val="18"/>
                <w:szCs w:val="18"/>
              </w:rPr>
              <w:t xml:space="preserve">B</w:t>
            </w:r>
          </w:p>
        </w:tc>
        <w:tc>
          <w:tcPr>
            <w:tcW w:type="dxa" w:w="3400"/>
            <w:tcMar>
              <w:top w:type="dxa" w:w="50"/>
              <w:left w:type="dxa" w:w="110"/>
              <w:bottom w:type="dxa" w:w="50"/>
              <w:right w:type="dxa" w:w="110"/>
            </w:tcMar>
          </w:tcPr>
          <w:p>
            <w:r>
              <w:rPr>
                <w:b/>
                <w:bCs/>
                <w:color w:val="6A2C70"/>
                <w:sz w:val="18"/>
                <w:szCs w:val="18"/>
              </w:rPr>
              <w:t xml:space="preserve">Ovarian evidence</w:t>
            </w:r>
          </w:p>
        </w:tc>
        <w:tc>
          <w:tcPr>
            <w:tcW w:type="dxa" w:w="5440"/>
            <w:tcMar>
              <w:top w:type="dxa" w:w="50"/>
              <w:left w:type="dxa" w:w="110"/>
              <w:bottom w:type="dxa" w:w="50"/>
              <w:right w:type="dxa" w:w="110"/>
            </w:tcMar>
          </w:tcPr>
          <w:p>
            <w:r>
              <w:rPr>
                <w:b w:val="false"/>
                <w:bCs w:val="false"/>
                <w:color w:val="000000"/>
                <w:sz w:val="18"/>
                <w:szCs w:val="18"/>
              </w:rPr>
              <w:t xml:space="preserve">The UKCTOCS numbers, how the signal firmed up, mortality question</w:t>
            </w:r>
          </w:p>
        </w:tc>
      </w:tr>
      <w:tr>
        <w:tc>
          <w:tcPr>
            <w:tcW w:type="dxa" w:w="520"/>
            <w:shd w:fill="F1E9F3" w:color="auto" w:val="clear"/>
            <w:tcMar>
              <w:top w:type="dxa" w:w="50"/>
              <w:left w:type="dxa" w:w="110"/>
              <w:bottom w:type="dxa" w:w="50"/>
              <w:right w:type="dxa" w:w="110"/>
            </w:tcMar>
          </w:tcPr>
          <w:p>
            <w:r>
              <w:rPr>
                <w:b/>
                <w:bCs/>
                <w:color w:val="000000"/>
                <w:sz w:val="18"/>
                <w:szCs w:val="18"/>
              </w:rPr>
              <w:t xml:space="preserve">C</w:t>
            </w:r>
          </w:p>
        </w:tc>
        <w:tc>
          <w:tcPr>
            <w:tcW w:type="dxa" w:w="3400"/>
            <w:tcMar>
              <w:top w:type="dxa" w:w="50"/>
              <w:left w:type="dxa" w:w="110"/>
              <w:bottom w:type="dxa" w:w="50"/>
              <w:right w:type="dxa" w:w="110"/>
            </w:tcMar>
          </w:tcPr>
          <w:p>
            <w:r>
              <w:rPr>
                <w:b/>
                <w:bCs/>
                <w:color w:val="6A2C70"/>
                <w:sz w:val="18"/>
                <w:szCs w:val="18"/>
              </w:rPr>
              <w:t xml:space="preserve">Lung program</w:t>
            </w:r>
          </w:p>
        </w:tc>
        <w:tc>
          <w:tcPr>
            <w:tcW w:type="dxa" w:w="5440"/>
            <w:tcMar>
              <w:top w:type="dxa" w:w="50"/>
              <w:left w:type="dxa" w:w="110"/>
              <w:bottom w:type="dxa" w:w="50"/>
              <w:right w:type="dxa" w:w="110"/>
            </w:tcMar>
          </w:tcPr>
          <w:p>
            <w:r>
              <w:rPr>
                <w:b w:val="false"/>
                <w:bCs w:val="false"/>
                <w:color w:val="000000"/>
                <w:sz w:val="18"/>
                <w:szCs w:val="18"/>
              </w:rPr>
              <w:t xml:space="preserve">NLST data, screening vs. nodule triage, why lung is next</w:t>
            </w:r>
          </w:p>
        </w:tc>
      </w:tr>
      <w:tr>
        <w:tc>
          <w:tcPr>
            <w:tcW w:type="dxa" w:w="520"/>
            <w:shd w:fill="F1E9F3" w:color="auto" w:val="clear"/>
            <w:tcMar>
              <w:top w:type="dxa" w:w="50"/>
              <w:left w:type="dxa" w:w="110"/>
              <w:bottom w:type="dxa" w:w="50"/>
              <w:right w:type="dxa" w:w="110"/>
            </w:tcMar>
          </w:tcPr>
          <w:p>
            <w:r>
              <w:rPr>
                <w:b/>
                <w:bCs/>
                <w:color w:val="000000"/>
                <w:sz w:val="18"/>
                <w:szCs w:val="18"/>
              </w:rPr>
              <w:t xml:space="preserve">D</w:t>
            </w:r>
          </w:p>
        </w:tc>
        <w:tc>
          <w:tcPr>
            <w:tcW w:type="dxa" w:w="3400"/>
            <w:tcMar>
              <w:top w:type="dxa" w:w="50"/>
              <w:left w:type="dxa" w:w="110"/>
              <w:bottom w:type="dxa" w:w="50"/>
              <w:right w:type="dxa" w:w="110"/>
            </w:tcMar>
          </w:tcPr>
          <w:p>
            <w:r>
              <w:rPr>
                <w:b/>
                <w:bCs/>
                <w:color w:val="6A2C70"/>
                <w:sz w:val="18"/>
                <w:szCs w:val="18"/>
              </w:rPr>
              <w:t xml:space="preserve">Regulatory &amp; reimbursement</w:t>
            </w:r>
          </w:p>
        </w:tc>
        <w:tc>
          <w:tcPr>
            <w:tcW w:type="dxa" w:w="5440"/>
            <w:tcMar>
              <w:top w:type="dxa" w:w="50"/>
              <w:left w:type="dxa" w:w="110"/>
              <w:bottom w:type="dxa" w:w="50"/>
              <w:right w:type="dxa" w:w="110"/>
            </w:tcMar>
          </w:tcPr>
          <w:p>
            <w:r>
              <w:rPr>
                <w:b w:val="false"/>
                <w:bCs w:val="false"/>
                <w:color w:val="000000"/>
                <w:sz w:val="18"/>
                <w:szCs w:val="18"/>
              </w:rPr>
              <w:t xml:space="preserve">CLIA/Early Access → FDA PMA; paying for ovarian screening</w:t>
            </w:r>
          </w:p>
        </w:tc>
      </w:tr>
      <w:tr>
        <w:tc>
          <w:tcPr>
            <w:tcW w:type="dxa" w:w="520"/>
            <w:shd w:fill="F1E9F3" w:color="auto" w:val="clear"/>
            <w:tcMar>
              <w:top w:type="dxa" w:w="50"/>
              <w:left w:type="dxa" w:w="110"/>
              <w:bottom w:type="dxa" w:w="50"/>
              <w:right w:type="dxa" w:w="110"/>
            </w:tcMar>
          </w:tcPr>
          <w:p>
            <w:r>
              <w:rPr>
                <w:b/>
                <w:bCs/>
                <w:color w:val="000000"/>
                <w:sz w:val="18"/>
                <w:szCs w:val="18"/>
              </w:rPr>
              <w:t xml:space="preserve">E</w:t>
            </w:r>
          </w:p>
        </w:tc>
        <w:tc>
          <w:tcPr>
            <w:tcW w:type="dxa" w:w="3400"/>
            <w:tcMar>
              <w:top w:type="dxa" w:w="50"/>
              <w:left w:type="dxa" w:w="110"/>
              <w:bottom w:type="dxa" w:w="50"/>
              <w:right w:type="dxa" w:w="110"/>
            </w:tcMar>
          </w:tcPr>
          <w:p>
            <w:r>
              <w:rPr>
                <w:b/>
                <w:bCs/>
                <w:color w:val="6A2C70"/>
                <w:sz w:val="18"/>
                <w:szCs w:val="18"/>
              </w:rPr>
              <w:t xml:space="preserve">Commercialization &amp; vision</w:t>
            </w:r>
          </w:p>
        </w:tc>
        <w:tc>
          <w:tcPr>
            <w:tcW w:type="dxa" w:w="5440"/>
            <w:tcMar>
              <w:top w:type="dxa" w:w="50"/>
              <w:left w:type="dxa" w:w="110"/>
              <w:bottom w:type="dxa" w:w="50"/>
              <w:right w:type="dxa" w:w="110"/>
            </w:tcMar>
          </w:tcPr>
          <w:p>
            <w:r>
              <w:rPr>
                <w:b w:val="false"/>
                <w:bCs w:val="false"/>
                <w:color w:val="000000"/>
                <w:sz w:val="18"/>
                <w:szCs w:val="18"/>
              </w:rPr>
              <w:t xml:space="preserve">Launch readiness, physician adoption, platform expansion</w:t>
            </w:r>
          </w:p>
        </w:tc>
      </w:tr>
    </w:tbl>
    <w:p>
      <w:pPr>
        <w:spacing w:after="80" w:before="80"/>
      </w:pPr>
      <w:r>
        <w:rPr>
          <w:i/>
          <w:iCs/>
          <w:color w:val="666666"/>
          <w:sz w:val="18"/>
          <w:szCs w:val="18"/>
        </w:rPr>
        <w:t xml:space="preserve">Pace: ~8–10 primary questions ≈ 30 min at 3 min each with follow-up.</w:t>
      </w:r>
    </w:p>
    <w:p>
      <w:pPr>
        <w:pBdr>
          <w:bottom w:val="single" w:color="6A2C70" w:sz="8" w:space="1"/>
        </w:pBdr>
        <w:spacing w:after="120"/>
      </w:pPr>
      <w:r>
        <w:t xml:space="preserve"/>
      </w:r>
    </w:p>
    <w:p>
      <w:pPr>
        <w:pStyle w:val="Heading2"/>
        <w:spacing w:after="80" w:before="200"/>
      </w:pPr>
      <w:r>
        <w:rPr>
          <w:b/>
          <w:bCs/>
          <w:color w:val="6A2C70"/>
          <w:sz w:val="25"/>
          <w:szCs w:val="25"/>
        </w:rPr>
        <w:t xml:space="preserve">Primary questions (~30 min)</w:t>
      </w:r>
    </w:p>
    <w:p>
      <w:pPr>
        <w:pStyle w:val="Heading3"/>
        <w:spacing w:after="50" w:before="150"/>
      </w:pPr>
      <w:r>
        <w:rPr>
          <w:b/>
          <w:bCs/>
          <w:color w:val="6A2C70"/>
          <w:sz w:val="22"/>
          <w:szCs w:val="22"/>
        </w:rPr>
        <w:t xml:space="preserve">Theme A — Science &amp; differentiation</w:t>
      </w:r>
    </w:p>
    <w:p>
      <w:pPr>
        <w:spacing w:after="40" w:before="110"/>
      </w:pPr>
      <w:r>
        <w:rPr>
          <w:b/>
          <w:bCs/>
          <w:color w:val="6A2C70"/>
          <w:sz w:val="21"/>
          <w:szCs w:val="21"/>
        </w:rPr>
        <w:t xml:space="preserve">Q1. </w:t>
      </w:r>
      <w:r>
        <w:rPr>
          <w:sz w:val="21"/>
          <w:szCs w:val="21"/>
        </w:rPr>
        <w:t xml:space="preserve">Your platform reads tumor-derived extracellular vesicles rather than circulating tumor DNA, which is where most of the field's money has gone. Make the case in plain terms: why are EVs a better substrate for catching cancer early?</w:t>
      </w:r>
      <w:hyperlink w:history="1" r:id="rId07jh97aenhhwaznjs7-go">
        <w:r>
          <w:rPr>
            <w:color w:val="2E7D8A"/>
            <w:sz w:val="16"/>
            <w:szCs w:val="16"/>
            <w:u w:val="single"/>
          </w:rPr>
          <w:t xml:space="preserve"> [Evident science]</w:t>
        </w:r>
      </w:hyperlink>
      <w:hyperlink w:history="1" r:id="rIdkzfziy-v9ea-fh_u3l0kb">
        <w:r>
          <w:rPr>
            <w:color w:val="2E7D8A"/>
            <w:sz w:val="16"/>
            <w:szCs w:val="16"/>
            <w:u w:val="single"/>
          </w:rPr>
          <w:t xml:space="preserve"> [mercybio]</w:t>
        </w:r>
      </w:hyperlink>
    </w:p>
    <w:p>
      <w:pPr>
        <w:spacing w:after="120"/>
        <w:ind w:left="360"/>
      </w:pPr>
      <w:r>
        <w:rPr>
          <w:b/>
          <w:bCs/>
          <w:i/>
          <w:iCs/>
          <w:color w:val="666666"/>
          <w:sz w:val="19"/>
          <w:szCs w:val="19"/>
        </w:rPr>
        <w:t xml:space="preserve">Why ask it: </w:t>
      </w:r>
      <w:r>
        <w:rPr>
          <w:i/>
          <w:iCs/>
          <w:color w:val="666666"/>
          <w:sz w:val="19"/>
          <w:szCs w:val="19"/>
        </w:rPr>
        <w:t xml:space="preserve">Opens with Mercy's core thesis and lets them differentiate from the crowded cfDNA field — their argument is that EVs are far more abundant and stable than tumor DNA in early disease.</w:t>
      </w:r>
    </w:p>
    <w:p>
      <w:pPr>
        <w:spacing w:after="40" w:before="110"/>
      </w:pPr>
      <w:r>
        <w:rPr>
          <w:b/>
          <w:bCs/>
          <w:color w:val="6A2C70"/>
          <w:sz w:val="21"/>
          <w:szCs w:val="21"/>
        </w:rPr>
        <w:t xml:space="preserve">Q2. </w:t>
      </w:r>
      <w:r>
        <w:rPr>
          <w:sz w:val="21"/>
          <w:szCs w:val="21"/>
        </w:rPr>
        <w:t xml:space="preserve">The distinctive design choice is looking for multiple biomarkers co-localized on the same single vesicle. Why does that specific approach drive the high specificity you're reporting, versus just measuring biomarker levels?</w:t>
      </w:r>
      <w:hyperlink w:history="1" r:id="rIdpx2vsw3gxw6jgkldfk2oz">
        <w:r>
          <w:rPr>
            <w:color w:val="2E7D8A"/>
            <w:sz w:val="16"/>
            <w:szCs w:val="16"/>
            <w:u w:val="single"/>
          </w:rPr>
          <w:t xml:space="preserve"> [JMD ScienceDirect]</w:t>
        </w:r>
      </w:hyperlink>
    </w:p>
    <w:p>
      <w:pPr>
        <w:spacing w:after="120"/>
        <w:ind w:left="360"/>
      </w:pPr>
      <w:r>
        <w:rPr>
          <w:b/>
          <w:bCs/>
          <w:i/>
          <w:iCs/>
          <w:color w:val="666666"/>
          <w:sz w:val="19"/>
          <w:szCs w:val="19"/>
        </w:rPr>
        <w:t xml:space="preserve">Why ask it: </w:t>
      </w:r>
      <w:r>
        <w:rPr>
          <w:i/>
          <w:iCs/>
          <w:color w:val="666666"/>
          <w:sz w:val="19"/>
          <w:szCs w:val="19"/>
        </w:rPr>
        <w:t xml:space="preserve">Forces an accessible mechanistic explanation tied directly to the specificity numbers — the published method uses immunoaffinity capture plus proximity-ligation qPCR to detect combinations of up to three biomarkers.</w:t>
      </w:r>
    </w:p>
    <w:p>
      <w:pPr>
        <w:pStyle w:val="Heading3"/>
        <w:spacing w:after="50" w:before="150"/>
      </w:pPr>
      <w:r>
        <w:rPr>
          <w:b/>
          <w:bCs/>
          <w:color w:val="6A2C70"/>
          <w:sz w:val="22"/>
          <w:szCs w:val="22"/>
        </w:rPr>
        <w:t xml:space="preserve">Theme B — Ovarian evidence</w:t>
      </w:r>
    </w:p>
    <w:p>
      <w:pPr>
        <w:spacing w:after="40" w:before="110"/>
      </w:pPr>
      <w:r>
        <w:rPr>
          <w:b/>
          <w:bCs/>
          <w:color w:val="6A2C70"/>
          <w:sz w:val="21"/>
          <w:szCs w:val="21"/>
        </w:rPr>
        <w:t xml:space="preserve">Q3. </w:t>
      </w:r>
      <w:r>
        <w:rPr>
          <w:sz w:val="21"/>
          <w:szCs w:val="21"/>
        </w:rPr>
        <w:t xml:space="preserve">Your published UKCTOCS validation showed about 83% all-stage and 89% early-stage sensitivity for high-grade serous ovarian cancer at roughly 98% specificity — beating CA-125 on both specificity and early-stage discrimination. For a clinician in the room, what's the single most important thing those numbers mean?</w:t>
      </w:r>
      <w:hyperlink w:history="1" r:id="rIdzwd21huoalwmqime2obyq">
        <w:r>
          <w:rPr>
            <w:color w:val="2E7D8A"/>
            <w:sz w:val="16"/>
            <w:szCs w:val="16"/>
            <w:u w:val="single"/>
          </w:rPr>
          <w:t xml:space="preserve"> [ScienceDirect]</w:t>
        </w:r>
      </w:hyperlink>
      <w:hyperlink w:history="1" r:id="rIdukawmyo7jaxiogjmv5c6l">
        <w:r>
          <w:rPr>
            <w:color w:val="2E7D8A"/>
            <w:sz w:val="16"/>
            <w:szCs w:val="16"/>
            <w:u w:val="single"/>
          </w:rPr>
          <w:t xml:space="preserve"> [Publications]</w:t>
        </w:r>
      </w:hyperlink>
    </w:p>
    <w:p>
      <w:pPr>
        <w:spacing w:after="120"/>
        <w:ind w:left="360"/>
      </w:pPr>
      <w:r>
        <w:rPr>
          <w:b/>
          <w:bCs/>
          <w:i/>
          <w:iCs/>
          <w:color w:val="666666"/>
          <w:sz w:val="19"/>
          <w:szCs w:val="19"/>
        </w:rPr>
        <w:t xml:space="preserve">Why ask it: </w:t>
      </w:r>
      <w:r>
        <w:rPr>
          <w:i/>
          <w:iCs/>
          <w:color w:val="666666"/>
          <w:sz w:val="19"/>
          <w:szCs w:val="19"/>
        </w:rPr>
        <w:t xml:space="preserve">Anchors the conversation in the peer-reviewed headline data (82.9% all-stage, 88.9% Stage I/II, 97.7% specificity; AUC 0.984 vs 0.860 for CA-125). All figures verified against the Gynecologic Oncology abstract.</w:t>
      </w:r>
    </w:p>
    <w:p>
      <w:pPr>
        <w:spacing w:after="40" w:before="110"/>
      </w:pPr>
      <w:r>
        <w:rPr>
          <w:b/>
          <w:bCs/>
          <w:color w:val="6A2C70"/>
          <w:sz w:val="21"/>
          <w:szCs w:val="21"/>
        </w:rPr>
        <w:t xml:space="preserve">Q4. </w:t>
      </w:r>
      <w:r>
        <w:rPr>
          <w:sz w:val="21"/>
          <w:szCs w:val="21"/>
        </w:rPr>
        <w:t xml:space="preserve">Your earlier 2024 dataset reported 82% sensitivity at 98% specificity; the 2025 publication reported 89% for early-stage disease. What actually changed between those readouts — the assay lock, the cohort, or the analysis — and how stable do you expect it to be in the UKCTOCS multimodal arm you haven't tested yet?</w:t>
      </w:r>
      <w:hyperlink w:history="1" r:id="rIdkhd3wwo_adpv0byqdgcp8">
        <w:r>
          <w:rPr>
            <w:color w:val="2E7D8A"/>
            <w:sz w:val="16"/>
            <w:szCs w:val="16"/>
            <w:u w:val="single"/>
          </w:rPr>
          <w:t xml:space="preserve"> [BDD/ASCO 2024]</w:t>
        </w:r>
      </w:hyperlink>
      <w:hyperlink w:history="1" r:id="rIdjxqepbqsxgy2yj7ju6kwv">
        <w:r>
          <w:rPr>
            <w:color w:val="2E7D8A"/>
            <w:sz w:val="16"/>
            <w:szCs w:val="16"/>
            <w:u w:val="single"/>
          </w:rPr>
          <w:t xml:space="preserve"> [2025 study]</w:t>
        </w:r>
      </w:hyperlink>
    </w:p>
    <w:p>
      <w:pPr>
        <w:spacing w:after="120"/>
        <w:ind w:left="360"/>
      </w:pPr>
      <w:r>
        <w:rPr>
          <w:b/>
          <w:bCs/>
          <w:i/>
          <w:iCs/>
          <w:color w:val="666666"/>
          <w:sz w:val="19"/>
          <w:szCs w:val="19"/>
        </w:rPr>
        <w:t xml:space="preserve">Why ask it: </w:t>
      </w:r>
      <w:r>
        <w:rPr>
          <w:i/>
          <w:iCs/>
          <w:color w:val="666666"/>
          <w:sz w:val="19"/>
          <w:szCs w:val="19"/>
        </w:rPr>
        <w:t xml:space="preserve">The sharpest Mercy-specific science question. Their own UKCTOCS chief investigator explicitly flagged the untested multimodal arm as the next validation step — verified in the ASCO/BDD release.</w:t>
      </w:r>
    </w:p>
    <w:p>
      <w:pPr>
        <w:spacing w:after="40" w:before="110"/>
      </w:pPr>
      <w:r>
        <w:rPr>
          <w:b/>
          <w:bCs/>
          <w:color w:val="6A2C70"/>
          <w:sz w:val="21"/>
          <w:szCs w:val="21"/>
        </w:rPr>
        <w:t xml:space="preserve">Q5. </w:t>
      </w:r>
      <w:r>
        <w:rPr>
          <w:sz w:val="21"/>
          <w:szCs w:val="21"/>
        </w:rPr>
        <w:t xml:space="preserve">UKCTOCS itself famously did not show that CA-125-and-ultrasound screening reduced ovarian cancer deaths. What makes you confident that detecting cancer up to three years earlier translates into lives saved, rather than just earlier diagnosis?</w:t>
      </w:r>
      <w:hyperlink w:history="1" r:id="rIdmy1lgjaq3leezyem8yuxy">
        <w:r>
          <w:rPr>
            <w:color w:val="2E7D8A"/>
            <w:sz w:val="16"/>
            <w:szCs w:val="16"/>
            <w:u w:val="single"/>
          </w:rPr>
          <w:t xml:space="preserve"> [2025 PR (mortality framing)]</w:t>
        </w:r>
      </w:hyperlink>
    </w:p>
    <w:p>
      <w:pPr>
        <w:spacing w:after="120"/>
        <w:ind w:left="360"/>
      </w:pPr>
      <w:r>
        <w:rPr>
          <w:b/>
          <w:bCs/>
          <w:i/>
          <w:iCs/>
          <w:color w:val="666666"/>
          <w:sz w:val="19"/>
          <w:szCs w:val="19"/>
        </w:rPr>
        <w:t xml:space="preserve">Why ask it: </w:t>
      </w:r>
      <w:r>
        <w:rPr>
          <w:i/>
          <w:iCs/>
          <w:color w:val="666666"/>
          <w:sz w:val="19"/>
          <w:szCs w:val="19"/>
        </w:rPr>
        <w:t xml:space="preserve">The central scientific challenge to any ovarian screening test. Mercy's own release acknowledges UKCTOCS didn't support CA-125/ultrasound screening — so this is fair, and they have a prepared answer about stage-shift and modern therapies.</w:t>
      </w:r>
    </w:p>
    <w:p>
      <w:pPr>
        <w:pStyle w:val="Heading3"/>
        <w:spacing w:after="50" w:before="150"/>
      </w:pPr>
      <w:r>
        <w:rPr>
          <w:b/>
          <w:bCs/>
          <w:color w:val="6A2C70"/>
          <w:sz w:val="22"/>
          <w:szCs w:val="22"/>
        </w:rPr>
        <w:t xml:space="preserve">Theme C — Lung program</w:t>
      </w:r>
    </w:p>
    <w:p>
      <w:pPr>
        <w:spacing w:after="40" w:before="110"/>
      </w:pPr>
      <w:r>
        <w:rPr>
          <w:b/>
          <w:bCs/>
          <w:color w:val="6A2C70"/>
          <w:sz w:val="21"/>
          <w:szCs w:val="21"/>
        </w:rPr>
        <w:t xml:space="preserve">Q6. </w:t>
      </w:r>
      <w:r>
        <w:rPr>
          <w:sz w:val="21"/>
          <w:szCs w:val="21"/>
        </w:rPr>
        <w:t xml:space="preserve">Your NLST analysis detected 31% of lung cancers a year before in-trial diagnosis versus 8% for LDCT/Lung-RADS, and flagged 40% of cancers that imaging missed — yet overall detection was comparable to CT, not better. How should we read that: replacement for CT, complement to it, or something else?</w:t>
      </w:r>
      <w:hyperlink w:history="1" r:id="rIdmvnquhehtydzn7z9ypkjz">
        <w:r>
          <w:rPr>
            <w:color w:val="2E7D8A"/>
            <w:sz w:val="16"/>
            <w:szCs w:val="16"/>
            <w:u w:val="single"/>
          </w:rPr>
          <w:t xml:space="preserve"> [Mercy NLST PR]</w:t>
        </w:r>
      </w:hyperlink>
      <w:hyperlink w:history="1" r:id="rIddmlka_zansxrae2qedsnt">
        <w:r>
          <w:rPr>
            <w:color w:val="2E7D8A"/>
            <w:sz w:val="16"/>
            <w:szCs w:val="16"/>
            <w:u w:val="single"/>
          </w:rPr>
          <w:t xml:space="preserve"> [CancerNetwork]</w:t>
        </w:r>
      </w:hyperlink>
    </w:p>
    <w:p>
      <w:pPr>
        <w:spacing w:after="120"/>
        <w:ind w:left="360"/>
      </w:pPr>
      <w:r>
        <w:rPr>
          <w:b/>
          <w:bCs/>
          <w:i/>
          <w:iCs/>
          <w:color w:val="666666"/>
          <w:sz w:val="19"/>
          <w:szCs w:val="19"/>
        </w:rPr>
        <w:t xml:space="preserve">Why ask it: </w:t>
      </w:r>
      <w:r>
        <w:rPr>
          <w:i/>
          <w:iCs/>
          <w:color w:val="666666"/>
          <w:sz w:val="19"/>
          <w:szCs w:val="19"/>
        </w:rPr>
        <w:t xml:space="preserve">Uses the verified NLST numbers (34.4% overall vs 39.5% for LDCT; specificity set to 90%; n=48) and pushes on the real strategic question — where lung fits, given only ~18% of eligible Americans are up to date on CT screening.</w:t>
      </w:r>
    </w:p>
    <w:p>
      <w:pPr>
        <w:spacing w:after="40" w:before="110"/>
      </w:pPr>
      <w:r>
        <w:rPr>
          <w:b/>
          <w:bCs/>
          <w:color w:val="6A2C70"/>
          <w:sz w:val="21"/>
          <w:szCs w:val="21"/>
        </w:rPr>
        <w:t xml:space="preserve">Q7. </w:t>
      </w:r>
      <w:r>
        <w:rPr>
          <w:sz w:val="21"/>
          <w:szCs w:val="21"/>
        </w:rPr>
        <w:t xml:space="preserve">Lung is roughly a year behind ovarian and much of the data so far is in conference abstracts rather than full publications. What's the gating milestone that moves the lung program from promising posters to a real clinical product?</w:t>
      </w:r>
      <w:hyperlink w:history="1" r:id="rId55awpx_biopkyq9n5dnjm">
        <w:r>
          <w:rPr>
            <w:color w:val="2E7D8A"/>
            <w:sz w:val="16"/>
            <w:szCs w:val="16"/>
            <w:u w:val="single"/>
          </w:rPr>
          <w:t xml:space="preserve"> [ASCO 2026 PR]</w:t>
        </w:r>
      </w:hyperlink>
    </w:p>
    <w:p>
      <w:pPr>
        <w:spacing w:after="120"/>
        <w:ind w:left="360"/>
      </w:pPr>
      <w:r>
        <w:rPr>
          <w:b/>
          <w:bCs/>
          <w:i/>
          <w:iCs/>
          <w:color w:val="666666"/>
          <w:sz w:val="19"/>
          <w:szCs w:val="19"/>
        </w:rPr>
        <w:t xml:space="preserve">Why ask it: </w:t>
      </w:r>
      <w:r>
        <w:rPr>
          <w:i/>
          <w:iCs/>
          <w:color w:val="666666"/>
          <w:sz w:val="19"/>
          <w:szCs w:val="19"/>
        </w:rPr>
        <w:t xml:space="preserve">Honest about evidence maturity — the lung readouts are abstract-stage. This invites Mercy to define what full validation looks like without you having to quote unverified abstract numbers.</w:t>
      </w:r>
    </w:p>
    <w:p>
      <w:pPr>
        <w:pStyle w:val="Heading3"/>
        <w:spacing w:after="50" w:before="150"/>
      </w:pPr>
      <w:r>
        <w:rPr>
          <w:b/>
          <w:bCs/>
          <w:color w:val="6A2C70"/>
          <w:sz w:val="22"/>
          <w:szCs w:val="22"/>
        </w:rPr>
        <w:t xml:space="preserve">Theme D — Regulatory &amp; reimbursement</w:t>
      </w:r>
    </w:p>
    <w:p>
      <w:pPr>
        <w:spacing w:after="40" w:before="110"/>
      </w:pPr>
      <w:r>
        <w:rPr>
          <w:b/>
          <w:bCs/>
          <w:color w:val="6A2C70"/>
          <w:sz w:val="21"/>
          <w:szCs w:val="21"/>
        </w:rPr>
        <w:t xml:space="preserve">Q8. </w:t>
      </w:r>
      <w:r>
        <w:rPr>
          <w:sz w:val="21"/>
          <w:szCs w:val="21"/>
        </w:rPr>
        <w:t xml:space="preserve">Evident is available today through an Early Access Program as a CLIA lab-developed test, with an FDA submission planned. Walk us through that sequencing — why launch under CLIA first, and what does FDA approval change for you?</w:t>
      </w:r>
      <w:hyperlink w:history="1" r:id="rIdei_pnftlqpwslezke9rqi">
        <w:r>
          <w:rPr>
            <w:color w:val="2E7D8A"/>
            <w:sz w:val="16"/>
            <w:szCs w:val="16"/>
            <w:u w:val="single"/>
          </w:rPr>
          <w:t xml:space="preserve"> [Evident providers]</w:t>
        </w:r>
      </w:hyperlink>
      <w:hyperlink w:history="1" r:id="rIdds8egdghg-8jfevajlv6g">
        <w:r>
          <w:rPr>
            <w:color w:val="2E7D8A"/>
            <w:sz w:val="16"/>
            <w:szCs w:val="16"/>
            <w:u w:val="single"/>
          </w:rPr>
          <w:t xml:space="preserve"> [360Dx]</w:t>
        </w:r>
      </w:hyperlink>
    </w:p>
    <w:p>
      <w:pPr>
        <w:spacing w:after="120"/>
        <w:ind w:left="360"/>
      </w:pPr>
      <w:r>
        <w:rPr>
          <w:b/>
          <w:bCs/>
          <w:i/>
          <w:iCs/>
          <w:color w:val="666666"/>
          <w:sz w:val="19"/>
          <w:szCs w:val="19"/>
        </w:rPr>
        <w:t xml:space="preserve">Why ask it: </w:t>
      </w:r>
      <w:r>
        <w:rPr>
          <w:i/>
          <w:iCs/>
          <w:color w:val="666666"/>
          <w:sz w:val="19"/>
          <w:szCs w:val="19"/>
        </w:rPr>
        <w:t xml:space="preserve">Grounded in Mercy's actual, current commercial posture (Early Access + CLIA + 'not FDA cleared/approved' disclaimer). Surfaces their real regulatory strategy.</w:t>
      </w:r>
    </w:p>
    <w:p>
      <w:pPr>
        <w:spacing w:after="40" w:before="110"/>
      </w:pPr>
      <w:r>
        <w:rPr>
          <w:b/>
          <w:bCs/>
          <w:color w:val="6A2C70"/>
          <w:sz w:val="21"/>
          <w:szCs w:val="21"/>
        </w:rPr>
        <w:t xml:space="preserve">Q9. </w:t>
      </w:r>
      <w:r>
        <w:rPr>
          <w:sz w:val="21"/>
          <w:szCs w:val="21"/>
        </w:rPr>
        <w:t xml:space="preserve">Ovarian screening has no established reimbursement paradigm, and Medicare coverage usually needs a USPSTF recommendation. How do you get a brand-new screening test paid for, and does the multi-cancer / MCED reimbursement conversation change your path?</w:t>
      </w:r>
      <w:hyperlink w:history="1" r:id="rIdmdct2mwktpvfmfh0gxqcj">
        <w:r>
          <w:rPr>
            <w:color w:val="2E7D8A"/>
            <w:sz w:val="16"/>
            <w:szCs w:val="16"/>
            <w:u w:val="single"/>
          </w:rPr>
          <w:t xml:space="preserve"> [360Dx reimbursement]</w:t>
        </w:r>
      </w:hyperlink>
    </w:p>
    <w:p>
      <w:pPr>
        <w:spacing w:after="120"/>
        <w:ind w:left="360"/>
      </w:pPr>
      <w:r>
        <w:rPr>
          <w:b/>
          <w:bCs/>
          <w:i/>
          <w:iCs/>
          <w:color w:val="666666"/>
          <w:sz w:val="19"/>
          <w:szCs w:val="19"/>
        </w:rPr>
        <w:t xml:space="preserve">Why ask it: </w:t>
      </w:r>
      <w:r>
        <w:rPr>
          <w:i/>
          <w:iCs/>
          <w:color w:val="666666"/>
          <w:sz w:val="19"/>
          <w:szCs w:val="19"/>
        </w:rPr>
        <w:t xml:space="preserve">Likely the hardest real business question Mercy faces; reimbursement is make-or-break for a screening test aimed at healthy populations.</w:t>
      </w:r>
    </w:p>
    <w:p>
      <w:pPr>
        <w:pStyle w:val="Heading3"/>
        <w:spacing w:after="50" w:before="150"/>
      </w:pPr>
      <w:r>
        <w:rPr>
          <w:b/>
          <w:bCs/>
          <w:color w:val="6A2C70"/>
          <w:sz w:val="22"/>
          <w:szCs w:val="22"/>
        </w:rPr>
        <w:t xml:space="preserve">Theme E — Commercialization &amp; vision</w:t>
      </w:r>
    </w:p>
    <w:p>
      <w:pPr>
        <w:spacing w:after="40" w:before="110"/>
      </w:pPr>
      <w:r>
        <w:rPr>
          <w:b/>
          <w:bCs/>
          <w:color w:val="6A2C70"/>
          <w:sz w:val="21"/>
          <w:szCs w:val="21"/>
        </w:rPr>
        <w:t xml:space="preserve">Q10. </w:t>
      </w:r>
      <w:r>
        <w:rPr>
          <w:sz w:val="21"/>
          <w:szCs w:val="21"/>
        </w:rPr>
        <w:t xml:space="preserve">You've recently added a CFO and a Chief Commercial Officer. What capabilities did you decide you needed to build before Evident could be more than a strong science story?</w:t>
      </w:r>
      <w:hyperlink w:history="1" r:id="rIdge4bxsydthq4tmq_uwxrc">
        <w:r>
          <w:rPr>
            <w:color w:val="2E7D8A"/>
            <w:sz w:val="16"/>
            <w:szCs w:val="16"/>
            <w:u w:val="single"/>
          </w:rPr>
          <w:t xml:space="preserve"> [Newsroom]</w:t>
        </w:r>
      </w:hyperlink>
    </w:p>
    <w:p>
      <w:pPr>
        <w:spacing w:after="120"/>
        <w:ind w:left="360"/>
      </w:pPr>
      <w:r>
        <w:rPr>
          <w:b/>
          <w:bCs/>
          <w:i/>
          <w:iCs/>
          <w:color w:val="666666"/>
          <w:sz w:val="19"/>
          <w:szCs w:val="19"/>
        </w:rPr>
        <w:t xml:space="preserve">Why ask it: </w:t>
      </w:r>
      <w:r>
        <w:rPr>
          <w:i/>
          <w:iCs/>
          <w:color w:val="666666"/>
          <w:sz w:val="19"/>
          <w:szCs w:val="19"/>
        </w:rPr>
        <w:t xml:space="preserve">Executive hiring is the clearest public signal of the shift from R&amp;D to go-to-market; invites candid reflection on the maturity curve.</w:t>
      </w:r>
    </w:p>
    <w:p>
      <w:pPr>
        <w:spacing w:after="40" w:before="110"/>
      </w:pPr>
      <w:r>
        <w:rPr>
          <w:b/>
          <w:bCs/>
          <w:color w:val="6A2C70"/>
          <w:sz w:val="21"/>
          <w:szCs w:val="21"/>
        </w:rPr>
        <w:t xml:space="preserve">Q11. </w:t>
      </w:r>
      <w:r>
        <w:rPr>
          <w:sz w:val="21"/>
          <w:szCs w:val="21"/>
        </w:rPr>
        <w:t xml:space="preserve">If Evident succeeds, what does the ideal care pathway look like after a positive result — repeat test, imaging, referral to a gynecologic oncologist? A screening test is only as good as what happens next.</w:t>
      </w:r>
      <w:hyperlink w:history="1" r:id="rIdrwp-j5i8agchhnisueuhs">
        <w:r>
          <w:rPr>
            <w:color w:val="2E7D8A"/>
            <w:sz w:val="16"/>
            <w:szCs w:val="16"/>
            <w:u w:val="single"/>
          </w:rPr>
          <w:t xml:space="preserve"> [Evident]</w:t>
        </w:r>
      </w:hyperlink>
    </w:p>
    <w:p>
      <w:pPr>
        <w:spacing w:after="120"/>
        <w:ind w:left="360"/>
      </w:pPr>
      <w:r>
        <w:rPr>
          <w:b/>
          <w:bCs/>
          <w:i/>
          <w:iCs/>
          <w:color w:val="666666"/>
          <w:sz w:val="19"/>
          <w:szCs w:val="19"/>
        </w:rPr>
        <w:t xml:space="preserve">Why ask it: </w:t>
      </w:r>
      <w:r>
        <w:rPr>
          <w:i/>
          <w:iCs/>
          <w:color w:val="666666"/>
          <w:sz w:val="19"/>
          <w:szCs w:val="19"/>
        </w:rPr>
        <w:t xml:space="preserve">Screening tests live or die on actionability. Mercy emphasizes confidence and actionability publicly, so it's fair to ask what that concretely means for a patient and clinician.</w:t>
      </w:r>
    </w:p>
    <w:p>
      <w:pPr>
        <w:pBdr>
          <w:bottom w:val="single" w:color="6A2C70" w:sz="8" w:space="1"/>
        </w:pBdr>
        <w:spacing w:after="120"/>
      </w:pPr>
      <w:r>
        <w:t xml:space="preserve"/>
      </w:r>
    </w:p>
    <w:p>
      <w:pPr>
        <w:pStyle w:val="Heading2"/>
        <w:spacing w:after="80" w:before="200"/>
      </w:pPr>
      <w:r>
        <w:rPr>
          <w:b/>
          <w:bCs/>
          <w:color w:val="6A2C70"/>
          <w:sz w:val="25"/>
          <w:szCs w:val="25"/>
        </w:rPr>
        <w:t xml:space="preserve">Backup questions (Mercy)</w:t>
      </w:r>
    </w:p>
    <w:p>
      <w:pPr>
        <w:spacing w:after="40" w:before="110"/>
      </w:pPr>
      <w:r>
        <w:rPr>
          <w:b/>
          <w:bCs/>
          <w:color w:val="6A2C70"/>
          <w:sz w:val="21"/>
          <w:szCs w:val="21"/>
        </w:rPr>
        <w:t xml:space="preserve">Q12. </w:t>
      </w:r>
      <w:r>
        <w:rPr>
          <w:sz w:val="21"/>
          <w:szCs w:val="21"/>
        </w:rPr>
        <w:t xml:space="preserve">Extracellular vesicles have historically been hard to isolate reproducibly. What did you solve technically to build a robust, low-cost, qPCR-based assay around them?</w:t>
      </w:r>
      <w:hyperlink w:history="1" r:id="rId-oduqjwjeuf8oqhewi0bj">
        <w:r>
          <w:rPr>
            <w:color w:val="2E7D8A"/>
            <w:sz w:val="16"/>
            <w:szCs w:val="16"/>
            <w:u w:val="single"/>
          </w:rPr>
          <w:t xml:space="preserve"> [JMD]</w:t>
        </w:r>
      </w:hyperlink>
    </w:p>
    <w:p>
      <w:pPr>
        <w:spacing w:after="120"/>
        <w:ind w:left="360"/>
      </w:pPr>
      <w:r>
        <w:rPr>
          <w:b/>
          <w:bCs/>
          <w:i/>
          <w:iCs/>
          <w:color w:val="666666"/>
          <w:sz w:val="19"/>
          <w:szCs w:val="19"/>
        </w:rPr>
        <w:t xml:space="preserve">Why ask it: </w:t>
      </w:r>
      <w:r>
        <w:rPr>
          <w:i/>
          <w:iCs/>
          <w:color w:val="666666"/>
          <w:sz w:val="19"/>
          <w:szCs w:val="19"/>
        </w:rPr>
        <w:t xml:space="preserve">Rewards technical depth and addresses a known skepticism in the EV field.</w:t>
      </w:r>
    </w:p>
    <w:p>
      <w:pPr>
        <w:spacing w:after="40" w:before="110"/>
      </w:pPr>
      <w:r>
        <w:rPr>
          <w:b/>
          <w:bCs/>
          <w:color w:val="6A2C70"/>
          <w:sz w:val="21"/>
          <w:szCs w:val="21"/>
        </w:rPr>
        <w:t xml:space="preserve">Q13. </w:t>
      </w:r>
      <w:r>
        <w:rPr>
          <w:sz w:val="21"/>
          <w:szCs w:val="21"/>
        </w:rPr>
        <w:t xml:space="preserve">You received FDA Breakthrough Device Designation for ovarian screening. What has that actually done for your development timeline and FDA interactions?</w:t>
      </w:r>
      <w:hyperlink w:history="1" r:id="rIdwfbbaf3wx9rxnlobchi4h">
        <w:r>
          <w:rPr>
            <w:color w:val="2E7D8A"/>
            <w:sz w:val="16"/>
            <w:szCs w:val="16"/>
            <w:u w:val="single"/>
          </w:rPr>
          <w:t xml:space="preserve"> [BDD PR]</w:t>
        </w:r>
      </w:hyperlink>
    </w:p>
    <w:p>
      <w:pPr>
        <w:spacing w:after="120"/>
        <w:ind w:left="360"/>
      </w:pPr>
      <w:r>
        <w:rPr>
          <w:b/>
          <w:bCs/>
          <w:i/>
          <w:iCs/>
          <w:color w:val="666666"/>
          <w:sz w:val="19"/>
          <w:szCs w:val="19"/>
        </w:rPr>
        <w:t xml:space="preserve">Why ask it: </w:t>
      </w:r>
      <w:r>
        <w:rPr>
          <w:i/>
          <w:iCs/>
          <w:color w:val="666666"/>
          <w:sz w:val="19"/>
          <w:szCs w:val="19"/>
        </w:rPr>
        <w:t xml:space="preserve">A concrete, verifiable regulatory milestone many people miss; lets Mercy explain the practical benefits of Breakthrough status.</w:t>
      </w:r>
    </w:p>
    <w:p>
      <w:pPr>
        <w:spacing w:after="40" w:before="110"/>
      </w:pPr>
      <w:r>
        <w:rPr>
          <w:b/>
          <w:bCs/>
          <w:color w:val="6A2C70"/>
          <w:sz w:val="21"/>
          <w:szCs w:val="21"/>
        </w:rPr>
        <w:t xml:space="preserve">Q14. </w:t>
      </w:r>
      <w:r>
        <w:rPr>
          <w:sz w:val="21"/>
          <w:szCs w:val="21"/>
        </w:rPr>
        <w:t xml:space="preserve">Your marketing materials cite higher numbers (92–97% all-stage sensitivity) than the peer-reviewed papers. How should clinicians reconcile the two, and which should they anchor on?</w:t>
      </w:r>
      <w:hyperlink w:history="1" r:id="rIdu3pamlfxb-_o0pggokqxd">
        <w:r>
          <w:rPr>
            <w:color w:val="2E7D8A"/>
            <w:sz w:val="16"/>
            <w:szCs w:val="16"/>
            <w:u w:val="single"/>
          </w:rPr>
          <w:t xml:space="preserve"> [Evident providers]</w:t>
        </w:r>
      </w:hyperlink>
      <w:hyperlink w:history="1" r:id="rIdnpz-bumgpgxnalz1lmqih">
        <w:r>
          <w:rPr>
            <w:color w:val="2E7D8A"/>
            <w:sz w:val="16"/>
            <w:szCs w:val="16"/>
            <w:u w:val="single"/>
          </w:rPr>
          <w:t xml:space="preserve"> [Publications]</w:t>
        </w:r>
      </w:hyperlink>
    </w:p>
    <w:p>
      <w:pPr>
        <w:spacing w:after="120"/>
        <w:ind w:left="360"/>
      </w:pPr>
      <w:r>
        <w:rPr>
          <w:b/>
          <w:bCs/>
          <w:i/>
          <w:iCs/>
          <w:color w:val="666666"/>
          <w:sz w:val="19"/>
          <w:szCs w:val="19"/>
        </w:rPr>
        <w:t xml:space="preserve">Why ask it: </w:t>
      </w:r>
      <w:r>
        <w:rPr>
          <w:i/>
          <w:iCs/>
          <w:color w:val="666666"/>
          <w:sz w:val="19"/>
          <w:szCs w:val="19"/>
        </w:rPr>
        <w:t xml:space="preserve">A fair, rigorous question — there's a real gap between the site's figures and the published ones, and letting Mercy address it head-on builds credibility.</w:t>
      </w:r>
    </w:p>
    <w:p>
      <w:pPr>
        <w:spacing w:after="40" w:before="110"/>
      </w:pPr>
      <w:r>
        <w:rPr>
          <w:b/>
          <w:bCs/>
          <w:color w:val="6A2C70"/>
          <w:sz w:val="21"/>
          <w:szCs w:val="21"/>
        </w:rPr>
        <w:t xml:space="preserve">Q15. </w:t>
      </w:r>
      <w:r>
        <w:rPr>
          <w:sz w:val="21"/>
          <w:szCs w:val="21"/>
        </w:rPr>
        <w:t xml:space="preserve">You emphasize low cost and small sample volume as enablers of population-scale screening. What does the test need to cost to be viable for millions of healthy women?</w:t>
      </w:r>
      <w:hyperlink w:history="1" r:id="rIddbhy77syuxk5kncmevhxv">
        <w:r>
          <w:rPr>
            <w:color w:val="2E7D8A"/>
            <w:sz w:val="16"/>
            <w:szCs w:val="16"/>
            <w:u w:val="single"/>
          </w:rPr>
          <w:t xml:space="preserve"> [mercybio]</w:t>
        </w:r>
      </w:hyperlink>
    </w:p>
    <w:p>
      <w:pPr>
        <w:spacing w:after="120"/>
        <w:ind w:left="360"/>
      </w:pPr>
      <w:r>
        <w:rPr>
          <w:b/>
          <w:bCs/>
          <w:i/>
          <w:iCs/>
          <w:color w:val="666666"/>
          <w:sz w:val="19"/>
          <w:szCs w:val="19"/>
        </w:rPr>
        <w:t xml:space="preserve">Why ask it: </w:t>
      </w:r>
      <w:r>
        <w:rPr>
          <w:i/>
          <w:iCs/>
          <w:color w:val="666666"/>
          <w:sz w:val="19"/>
          <w:szCs w:val="19"/>
        </w:rPr>
        <w:t xml:space="preserve">Mercy explicitly frames cost as a differentiator; health-economics framing resonates with an investor/policy audience.</w:t>
      </w:r>
    </w:p>
    <w:p>
      <w:pPr>
        <w:spacing w:after="40" w:before="110"/>
      </w:pPr>
      <w:r>
        <w:rPr>
          <w:b/>
          <w:bCs/>
          <w:color w:val="6A2C70"/>
          <w:sz w:val="21"/>
          <w:szCs w:val="21"/>
        </w:rPr>
        <w:t xml:space="preserve">Q16. </w:t>
      </w:r>
      <w:r>
        <w:rPr>
          <w:sz w:val="21"/>
          <w:szCs w:val="21"/>
        </w:rPr>
        <w:t xml:space="preserve">Beyond ovarian and lung, your own funding announcement references a multi-cancer portfolio. What determines whether the next program becomes real versus staying a platform aspiration?</w:t>
      </w:r>
      <w:hyperlink w:history="1" r:id="rIdugcevcixsui3mclkwh495">
        <w:r>
          <w:rPr>
            <w:color w:val="2E7D8A"/>
            <w:sz w:val="16"/>
            <w:szCs w:val="16"/>
            <w:u w:val="single"/>
          </w:rPr>
          <w:t xml:space="preserve"> [Series B PR]</w:t>
        </w:r>
      </w:hyperlink>
    </w:p>
    <w:p>
      <w:pPr>
        <w:spacing w:after="120"/>
        <w:ind w:left="360"/>
      </w:pPr>
      <w:r>
        <w:rPr>
          <w:b/>
          <w:bCs/>
          <w:i/>
          <w:iCs/>
          <w:color w:val="666666"/>
          <w:sz w:val="19"/>
          <w:szCs w:val="19"/>
        </w:rPr>
        <w:t xml:space="preserve">Why ask it: </w:t>
      </w:r>
      <w:r>
        <w:rPr>
          <w:i/>
          <w:iCs/>
          <w:color w:val="666666"/>
          <w:sz w:val="19"/>
          <w:szCs w:val="19"/>
        </w:rPr>
        <w:t xml:space="preserve">Tests portfolio discipline. Note: Mercy's public 'expansion' language is the generic 'multi-cancer' phrasing in its Series B release plus the named ovarian and lung programs — no specific additional indications are publicly confirmed, so keep this open-ended.</w:t>
      </w:r>
    </w:p>
    <w:p>
      <w:pPr>
        <w:spacing w:after="40" w:before="110"/>
      </w:pPr>
      <w:r>
        <w:rPr>
          <w:b/>
          <w:bCs/>
          <w:color w:val="6A2C70"/>
          <w:sz w:val="21"/>
          <w:szCs w:val="21"/>
        </w:rPr>
        <w:t xml:space="preserve">Q17. </w:t>
      </w:r>
      <w:r>
        <w:rPr>
          <w:sz w:val="21"/>
          <w:szCs w:val="21"/>
        </w:rPr>
        <w:t xml:space="preserve">Your Series B brought in Hologic, Bruker, and Labcorp as strategic investors. What does having strategics on the cap table change about how you think about distribution or an eventual exit?</w:t>
      </w:r>
      <w:hyperlink w:history="1" r:id="rIdda4uhbn8lypdprvxsxhn1">
        <w:r>
          <w:rPr>
            <w:color w:val="2E7D8A"/>
            <w:sz w:val="16"/>
            <w:szCs w:val="16"/>
            <w:u w:val="single"/>
          </w:rPr>
          <w:t xml:space="preserve"> [Series B PR]</w:t>
        </w:r>
      </w:hyperlink>
    </w:p>
    <w:p>
      <w:pPr>
        <w:spacing w:after="120"/>
        <w:ind w:left="360"/>
      </w:pPr>
      <w:r>
        <w:rPr>
          <w:b/>
          <w:bCs/>
          <w:i/>
          <w:iCs/>
          <w:color w:val="666666"/>
          <w:sz w:val="19"/>
          <w:szCs w:val="19"/>
        </w:rPr>
        <w:t xml:space="preserve">Why ask it: </w:t>
      </w:r>
      <w:r>
        <w:rPr>
          <w:i/>
          <w:iCs/>
          <w:color w:val="666666"/>
          <w:sz w:val="19"/>
          <w:szCs w:val="19"/>
        </w:rPr>
        <w:t xml:space="preserve">Strategic investors like Labcorp/Hologic hint at future channel or M&amp;A; worth drawing out without forcing a commitment.</w:t>
      </w:r>
    </w:p>
    <w:p>
      <w:r>
        <w:br w:type="page"/>
      </w:r>
    </w:p>
    <w:p>
      <w:pPr>
        <w:pStyle w:val="Heading1"/>
        <w:spacing w:after="120" w:before="240"/>
      </w:pPr>
      <w:r>
        <w:rPr>
          <w:b/>
          <w:bCs/>
          <w:color w:val="1B5E5A"/>
          <w:sz w:val="34"/>
          <w:szCs w:val="34"/>
        </w:rPr>
        <w:t xml:space="preserve">Call 2 — Cleveland Diagnostics</w:t>
      </w:r>
    </w:p>
    <w:p>
      <w:pPr>
        <w:spacing w:after="100"/>
      </w:pPr>
      <w:r>
        <w:rPr>
          <w:i/>
          <w:iCs/>
          <w:color w:val="666666"/>
          <w:sz w:val="20"/>
          <w:szCs w:val="20"/>
        </w:rPr>
        <w:t xml:space="preserve">The triage / decision-support story: avoid harm from over-testing. Flagship IsoPSA (prostate) reads protein structure, not concentration, and received FDA PMA approval in December 2025. Evidence base is deep in one indication — validation, utility, longitudinal follow-up, guidelines, Medicare coverage. Hard questions: market size, LDT-to-IVD rollout, and when a second indication becomes concrete.</w:t>
      </w:r>
    </w:p>
    <w:p>
      <w:pPr>
        <w:pStyle w:val="Heading3"/>
        <w:spacing w:after="50" w:before="150"/>
      </w:pPr>
      <w:r>
        <w:rPr>
          <w:b/>
          <w:bCs/>
          <w:color w:val="1B5E5A"/>
          <w:sz w:val="22"/>
          <w:szCs w:val="22"/>
        </w:rPr>
        <w:t xml:space="preserve">Roadmap — themes for this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3400"/>
        <w:gridCol w:w="5440"/>
      </w:tblGrid>
      <w:tr>
        <w:trPr>
          <w:tblHeader/>
        </w:trPr>
        <w:tc>
          <w:tcPr>
            <w:tcW w:type="dxa" w:w="520"/>
            <w:shd w:fill="1B5E5A" w:color="auto" w:val="clear"/>
            <w:tcMar>
              <w:top w:type="dxa" w:w="50"/>
              <w:left w:type="dxa" w:w="110"/>
              <w:bottom w:type="dxa" w:w="50"/>
              <w:right w:type="dxa" w:w="110"/>
            </w:tcMar>
          </w:tcPr>
          <w:p>
            <w:r>
              <w:rPr>
                <w:b/>
                <w:bCs/>
                <w:color w:val="FFFFFF"/>
                <w:sz w:val="18"/>
                <w:szCs w:val="18"/>
              </w:rPr>
              <w:t xml:space="preserve">#</w:t>
            </w:r>
          </w:p>
        </w:tc>
        <w:tc>
          <w:tcPr>
            <w:tcW w:type="dxa" w:w="3400"/>
            <w:shd w:fill="1B5E5A" w:color="auto" w:val="clear"/>
            <w:tcMar>
              <w:top w:type="dxa" w:w="50"/>
              <w:left w:type="dxa" w:w="110"/>
              <w:bottom w:type="dxa" w:w="50"/>
              <w:right w:type="dxa" w:w="110"/>
            </w:tcMar>
          </w:tcPr>
          <w:p>
            <w:r>
              <w:rPr>
                <w:b/>
                <w:bCs/>
                <w:color w:val="FFFFFF"/>
                <w:sz w:val="18"/>
                <w:szCs w:val="18"/>
              </w:rPr>
              <w:t xml:space="preserve">Theme</w:t>
            </w:r>
          </w:p>
        </w:tc>
        <w:tc>
          <w:tcPr>
            <w:tcW w:type="dxa" w:w="5440"/>
            <w:shd w:fill="1B5E5A" w:color="auto" w:val="clear"/>
            <w:tcMar>
              <w:top w:type="dxa" w:w="50"/>
              <w:left w:type="dxa" w:w="110"/>
              <w:bottom w:type="dxa" w:w="50"/>
              <w:right w:type="dxa" w:w="110"/>
            </w:tcMar>
          </w:tcPr>
          <w:p>
            <w:r>
              <w:rPr>
                <w:b/>
                <w:bCs/>
                <w:color w:val="FFFFFF"/>
                <w:sz w:val="18"/>
                <w:szCs w:val="18"/>
              </w:rPr>
              <w:t xml:space="preserve">What it covers</w:t>
            </w:r>
          </w:p>
        </w:tc>
      </w:tr>
      <w:tr>
        <w:tc>
          <w:tcPr>
            <w:tcW w:type="dxa" w:w="520"/>
            <w:shd w:fill="E5F0EE" w:color="auto" w:val="clear"/>
            <w:tcMar>
              <w:top w:type="dxa" w:w="50"/>
              <w:left w:type="dxa" w:w="110"/>
              <w:bottom w:type="dxa" w:w="50"/>
              <w:right w:type="dxa" w:w="110"/>
            </w:tcMar>
          </w:tcPr>
          <w:p>
            <w:r>
              <w:rPr>
                <w:b/>
                <w:bCs/>
                <w:color w:val="000000"/>
                <w:sz w:val="18"/>
                <w:szCs w:val="18"/>
              </w:rPr>
              <w:t xml:space="preserve">A</w:t>
            </w:r>
          </w:p>
        </w:tc>
        <w:tc>
          <w:tcPr>
            <w:tcW w:type="dxa" w:w="3400"/>
            <w:tcMar>
              <w:top w:type="dxa" w:w="50"/>
              <w:left w:type="dxa" w:w="110"/>
              <w:bottom w:type="dxa" w:w="50"/>
              <w:right w:type="dxa" w:w="110"/>
            </w:tcMar>
          </w:tcPr>
          <w:p>
            <w:r>
              <w:rPr>
                <w:b/>
                <w:bCs/>
                <w:color w:val="1B5E5A"/>
                <w:sz w:val="18"/>
                <w:szCs w:val="18"/>
              </w:rPr>
              <w:t xml:space="preserve">Science &amp; differentiation</w:t>
            </w:r>
          </w:p>
        </w:tc>
        <w:tc>
          <w:tcPr>
            <w:tcW w:type="dxa" w:w="5440"/>
            <w:tcMar>
              <w:top w:type="dxa" w:w="50"/>
              <w:left w:type="dxa" w:w="110"/>
              <w:bottom w:type="dxa" w:w="50"/>
              <w:right w:type="dxa" w:w="110"/>
            </w:tcMar>
          </w:tcPr>
          <w:p>
            <w:r>
              <w:rPr>
                <w:b w:val="false"/>
                <w:bCs w:val="false"/>
                <w:color w:val="000000"/>
                <w:sz w:val="18"/>
                <w:szCs w:val="18"/>
              </w:rPr>
              <w:t xml:space="preserve">Structure vs. concentration; the IsoClear platform; the 'Iso' idea</w:t>
            </w:r>
          </w:p>
        </w:tc>
      </w:tr>
      <w:tr>
        <w:tc>
          <w:tcPr>
            <w:tcW w:type="dxa" w:w="520"/>
            <w:shd w:fill="E5F0EE" w:color="auto" w:val="clear"/>
            <w:tcMar>
              <w:top w:type="dxa" w:w="50"/>
              <w:left w:type="dxa" w:w="110"/>
              <w:bottom w:type="dxa" w:w="50"/>
              <w:right w:type="dxa" w:w="110"/>
            </w:tcMar>
          </w:tcPr>
          <w:p>
            <w:r>
              <w:rPr>
                <w:b/>
                <w:bCs/>
                <w:color w:val="000000"/>
                <w:sz w:val="18"/>
                <w:szCs w:val="18"/>
              </w:rPr>
              <w:t xml:space="preserve">B</w:t>
            </w:r>
          </w:p>
        </w:tc>
        <w:tc>
          <w:tcPr>
            <w:tcW w:type="dxa" w:w="3400"/>
            <w:tcMar>
              <w:top w:type="dxa" w:w="50"/>
              <w:left w:type="dxa" w:w="110"/>
              <w:bottom w:type="dxa" w:w="50"/>
              <w:right w:type="dxa" w:w="110"/>
            </w:tcMar>
          </w:tcPr>
          <w:p>
            <w:r>
              <w:rPr>
                <w:b/>
                <w:bCs/>
                <w:color w:val="1B5E5A"/>
                <w:sz w:val="18"/>
                <w:szCs w:val="18"/>
              </w:rPr>
              <w:t xml:space="preserve">Clinical evidence</w:t>
            </w:r>
          </w:p>
        </w:tc>
        <w:tc>
          <w:tcPr>
            <w:tcW w:type="dxa" w:w="5440"/>
            <w:tcMar>
              <w:top w:type="dxa" w:w="50"/>
              <w:left w:type="dxa" w:w="110"/>
              <w:bottom w:type="dxa" w:w="50"/>
              <w:right w:type="dxa" w:w="110"/>
            </w:tcMar>
          </w:tcPr>
          <w:p>
            <w:r>
              <w:rPr>
                <w:b w:val="false"/>
                <w:bCs w:val="false"/>
                <w:color w:val="000000"/>
                <w:sz w:val="18"/>
                <w:szCs w:val="18"/>
              </w:rPr>
              <w:t xml:space="preserve">The 90.2%/45.5% pivotal data, biopsy reduction, longitudinal durability</w:t>
            </w:r>
          </w:p>
        </w:tc>
      </w:tr>
      <w:tr>
        <w:tc>
          <w:tcPr>
            <w:tcW w:type="dxa" w:w="520"/>
            <w:shd w:fill="E5F0EE" w:color="auto" w:val="clear"/>
            <w:tcMar>
              <w:top w:type="dxa" w:w="50"/>
              <w:left w:type="dxa" w:w="110"/>
              <w:bottom w:type="dxa" w:w="50"/>
              <w:right w:type="dxa" w:w="110"/>
            </w:tcMar>
          </w:tcPr>
          <w:p>
            <w:r>
              <w:rPr>
                <w:b/>
                <w:bCs/>
                <w:color w:val="000000"/>
                <w:sz w:val="18"/>
                <w:szCs w:val="18"/>
              </w:rPr>
              <w:t xml:space="preserve">C</w:t>
            </w:r>
          </w:p>
        </w:tc>
        <w:tc>
          <w:tcPr>
            <w:tcW w:type="dxa" w:w="3400"/>
            <w:tcMar>
              <w:top w:type="dxa" w:w="50"/>
              <w:left w:type="dxa" w:w="110"/>
              <w:bottom w:type="dxa" w:w="50"/>
              <w:right w:type="dxa" w:w="110"/>
            </w:tcMar>
          </w:tcPr>
          <w:p>
            <w:r>
              <w:rPr>
                <w:b/>
                <w:bCs/>
                <w:color w:val="1B5E5A"/>
                <w:sz w:val="18"/>
                <w:szCs w:val="18"/>
              </w:rPr>
              <w:t xml:space="preserve">Regulatory &amp; manufacturing</w:t>
            </w:r>
          </w:p>
        </w:tc>
        <w:tc>
          <w:tcPr>
            <w:tcW w:type="dxa" w:w="5440"/>
            <w:tcMar>
              <w:top w:type="dxa" w:w="50"/>
              <w:left w:type="dxa" w:w="110"/>
              <w:bottom w:type="dxa" w:w="50"/>
              <w:right w:type="dxa" w:w="110"/>
            </w:tcMar>
          </w:tcPr>
          <w:p>
            <w:r>
              <w:rPr>
                <w:b w:val="false"/>
                <w:bCs w:val="false"/>
                <w:color w:val="000000"/>
                <w:sz w:val="18"/>
                <w:szCs w:val="18"/>
              </w:rPr>
              <w:t xml:space="preserve">FDA PMA, ISO 13485, LDT → IVD kit transition</w:t>
            </w:r>
          </w:p>
        </w:tc>
      </w:tr>
      <w:tr>
        <w:tc>
          <w:tcPr>
            <w:tcW w:type="dxa" w:w="520"/>
            <w:shd w:fill="E5F0EE" w:color="auto" w:val="clear"/>
            <w:tcMar>
              <w:top w:type="dxa" w:w="50"/>
              <w:left w:type="dxa" w:w="110"/>
              <w:bottom w:type="dxa" w:w="50"/>
              <w:right w:type="dxa" w:w="110"/>
            </w:tcMar>
          </w:tcPr>
          <w:p>
            <w:r>
              <w:rPr>
                <w:b/>
                <w:bCs/>
                <w:color w:val="000000"/>
                <w:sz w:val="18"/>
                <w:szCs w:val="18"/>
              </w:rPr>
              <w:t xml:space="preserve">D</w:t>
            </w:r>
          </w:p>
        </w:tc>
        <w:tc>
          <w:tcPr>
            <w:tcW w:type="dxa" w:w="3400"/>
            <w:tcMar>
              <w:top w:type="dxa" w:w="50"/>
              <w:left w:type="dxa" w:w="110"/>
              <w:bottom w:type="dxa" w:w="50"/>
              <w:right w:type="dxa" w:w="110"/>
            </w:tcMar>
          </w:tcPr>
          <w:p>
            <w:r>
              <w:rPr>
                <w:b/>
                <w:bCs/>
                <w:color w:val="1B5E5A"/>
                <w:sz w:val="18"/>
                <w:szCs w:val="18"/>
              </w:rPr>
              <w:t xml:space="preserve">Commercialization &amp; access</w:t>
            </w:r>
          </w:p>
        </w:tc>
        <w:tc>
          <w:tcPr>
            <w:tcW w:type="dxa" w:w="5440"/>
            <w:tcMar>
              <w:top w:type="dxa" w:w="50"/>
              <w:left w:type="dxa" w:w="110"/>
              <w:bottom w:type="dxa" w:w="50"/>
              <w:right w:type="dxa" w:w="110"/>
            </w:tcMar>
          </w:tcPr>
          <w:p>
            <w:r>
              <w:rPr>
                <w:b w:val="false"/>
                <w:bCs w:val="false"/>
                <w:color w:val="000000"/>
                <w:sz w:val="18"/>
                <w:szCs w:val="18"/>
              </w:rPr>
              <w:t xml:space="preserve">Medicare, guidelines, Quest, what still limits adoption</w:t>
            </w:r>
          </w:p>
        </w:tc>
      </w:tr>
      <w:tr>
        <w:tc>
          <w:tcPr>
            <w:tcW w:type="dxa" w:w="520"/>
            <w:shd w:fill="E5F0EE" w:color="auto" w:val="clear"/>
            <w:tcMar>
              <w:top w:type="dxa" w:w="50"/>
              <w:left w:type="dxa" w:w="110"/>
              <w:bottom w:type="dxa" w:w="50"/>
              <w:right w:type="dxa" w:w="110"/>
            </w:tcMar>
          </w:tcPr>
          <w:p>
            <w:r>
              <w:rPr>
                <w:b/>
                <w:bCs/>
                <w:color w:val="000000"/>
                <w:sz w:val="18"/>
                <w:szCs w:val="18"/>
              </w:rPr>
              <w:t xml:space="preserve">E</w:t>
            </w:r>
          </w:p>
        </w:tc>
        <w:tc>
          <w:tcPr>
            <w:tcW w:type="dxa" w:w="3400"/>
            <w:tcMar>
              <w:top w:type="dxa" w:w="50"/>
              <w:left w:type="dxa" w:w="110"/>
              <w:bottom w:type="dxa" w:w="50"/>
              <w:right w:type="dxa" w:w="110"/>
            </w:tcMar>
          </w:tcPr>
          <w:p>
            <w:r>
              <w:rPr>
                <w:b/>
                <w:bCs/>
                <w:color w:val="1B5E5A"/>
                <w:sz w:val="18"/>
                <w:szCs w:val="18"/>
              </w:rPr>
              <w:t xml:space="preserve">Leadership &amp; pipeline</w:t>
            </w:r>
          </w:p>
        </w:tc>
        <w:tc>
          <w:tcPr>
            <w:tcW w:type="dxa" w:w="5440"/>
            <w:tcMar>
              <w:top w:type="dxa" w:w="50"/>
              <w:left w:type="dxa" w:w="110"/>
              <w:bottom w:type="dxa" w:w="50"/>
              <w:right w:type="dxa" w:w="110"/>
            </w:tcMar>
          </w:tcPr>
          <w:p>
            <w:r>
              <w:rPr>
                <w:b w:val="false"/>
                <w:bCs w:val="false"/>
                <w:color w:val="000000"/>
                <w:sz w:val="18"/>
                <w:szCs w:val="18"/>
              </w:rPr>
              <w:t xml:space="preserve">New CEO, founder → CIO, second indications, vision</w:t>
            </w:r>
          </w:p>
        </w:tc>
      </w:tr>
    </w:tbl>
    <w:p>
      <w:pPr>
        <w:spacing w:after="80" w:before="80"/>
      </w:pPr>
      <w:r>
        <w:rPr>
          <w:i/>
          <w:iCs/>
          <w:color w:val="666666"/>
          <w:sz w:val="18"/>
          <w:szCs w:val="18"/>
        </w:rPr>
        <w:t xml:space="preserve">Pace: ~8–10 primary questions ≈ 30 min at 3 min each with follow-up.</w:t>
      </w:r>
    </w:p>
    <w:p>
      <w:pPr>
        <w:pBdr>
          <w:bottom w:val="single" w:color="1B5E5A" w:sz="8" w:space="1"/>
        </w:pBdr>
        <w:spacing w:after="120"/>
      </w:pPr>
      <w:r>
        <w:t xml:space="preserve"/>
      </w:r>
    </w:p>
    <w:p>
      <w:pPr>
        <w:pStyle w:val="Heading2"/>
        <w:spacing w:after="80" w:before="200"/>
      </w:pPr>
      <w:r>
        <w:rPr>
          <w:b/>
          <w:bCs/>
          <w:color w:val="1B5E5A"/>
          <w:sz w:val="25"/>
          <w:szCs w:val="25"/>
        </w:rPr>
        <w:t xml:space="preserve">Primary questions (~30 min)</w:t>
      </w:r>
    </w:p>
    <w:p>
      <w:pPr>
        <w:pStyle w:val="Heading3"/>
        <w:spacing w:after="50" w:before="150"/>
      </w:pPr>
      <w:r>
        <w:rPr>
          <w:b/>
          <w:bCs/>
          <w:color w:val="1B5E5A"/>
          <w:sz w:val="22"/>
          <w:szCs w:val="22"/>
        </w:rPr>
        <w:t xml:space="preserve">Theme A — Science &amp; differentiation</w:t>
      </w:r>
    </w:p>
    <w:p>
      <w:pPr>
        <w:spacing w:after="40" w:before="110"/>
      </w:pPr>
      <w:r>
        <w:rPr>
          <w:b/>
          <w:bCs/>
          <w:color w:val="1B5E5A"/>
          <w:sz w:val="21"/>
          <w:szCs w:val="21"/>
        </w:rPr>
        <w:t xml:space="preserve">Q1. </w:t>
      </w:r>
      <w:r>
        <w:rPr>
          <w:sz w:val="21"/>
          <w:szCs w:val="21"/>
        </w:rPr>
        <w:t xml:space="preserve">Standard PSA tests measure how much PSA is in the blood; your IsoClear platform measures the protein's structure instead. Explain simply why the shape of PSA tells you something the quantity can't.</w:t>
      </w:r>
      <w:hyperlink w:history="1" r:id="rIdkdvw91dxj6gqo6xd9dieo">
        <w:r>
          <w:rPr>
            <w:color w:val="2E7D8A"/>
            <w:sz w:val="16"/>
            <w:szCs w:val="16"/>
            <w:u w:val="single"/>
          </w:rPr>
          <w:t xml:space="preserve"> [Platform]</w:t>
        </w:r>
      </w:hyperlink>
      <w:hyperlink w:history="1" r:id="rId0sbn01awnj0x4w2qiuckv">
        <w:r>
          <w:rPr>
            <w:color w:val="2E7D8A"/>
            <w:sz w:val="16"/>
            <w:szCs w:val="16"/>
            <w:u w:val="single"/>
          </w:rPr>
          <w:t xml:space="preserve"> [Targeted Onc]</w:t>
        </w:r>
      </w:hyperlink>
    </w:p>
    <w:p>
      <w:pPr>
        <w:spacing w:after="120"/>
        <w:ind w:left="360"/>
      </w:pPr>
      <w:r>
        <w:rPr>
          <w:b/>
          <w:bCs/>
          <w:i/>
          <w:iCs/>
          <w:color w:val="666666"/>
          <w:sz w:val="19"/>
          <w:szCs w:val="19"/>
        </w:rPr>
        <w:t xml:space="preserve">Why ask it: </w:t>
      </w:r>
      <w:r>
        <w:rPr>
          <w:i/>
          <w:iCs/>
          <w:color w:val="666666"/>
          <w:sz w:val="19"/>
          <w:szCs w:val="19"/>
        </w:rPr>
        <w:t xml:space="preserve">The core scientific hook, in accessible terms — PSA from cancer cells has different structural isoforms than PSA from a benign, enlarged prostate.</w:t>
      </w:r>
    </w:p>
    <w:p>
      <w:pPr>
        <w:spacing w:after="40" w:before="110"/>
      </w:pPr>
      <w:r>
        <w:rPr>
          <w:b/>
          <w:bCs/>
          <w:color w:val="1B5E5A"/>
          <w:sz w:val="21"/>
          <w:szCs w:val="21"/>
        </w:rPr>
        <w:t xml:space="preserve">Q2. </w:t>
      </w:r>
      <w:r>
        <w:rPr>
          <w:sz w:val="21"/>
          <w:szCs w:val="21"/>
        </w:rPr>
        <w:t xml:space="preserve">IsoPSA still uses total PSA and free PSA as inputs and folds them into a single index. Is it fair to call it an upgrade to conventional PSA rather than a replacement — and does that make adoption easier for urologists?</w:t>
      </w:r>
      <w:hyperlink w:history="1" r:id="rId0nhs0orlg-yyxnocg5gim">
        <w:r>
          <w:rPr>
            <w:color w:val="2E7D8A"/>
            <w:sz w:val="16"/>
            <w:szCs w:val="16"/>
            <w:u w:val="single"/>
          </w:rPr>
          <w:t xml:space="preserve"> [CancerNetwork (comparison)]</w:t>
        </w:r>
      </w:hyperlink>
    </w:p>
    <w:p>
      <w:pPr>
        <w:spacing w:after="120"/>
        <w:ind w:left="360"/>
      </w:pPr>
      <w:r>
        <w:rPr>
          <w:b/>
          <w:bCs/>
          <w:i/>
          <w:iCs/>
          <w:color w:val="666666"/>
          <w:sz w:val="19"/>
          <w:szCs w:val="19"/>
        </w:rPr>
        <w:t xml:space="preserve">Why ask it: </w:t>
      </w:r>
      <w:r>
        <w:rPr>
          <w:i/>
          <w:iCs/>
          <w:color w:val="666666"/>
          <w:sz w:val="19"/>
          <w:szCs w:val="19"/>
        </w:rPr>
        <w:t xml:space="preserve">Clarifies a genuinely useful point — the test builds on measurements urologists already trust, which is an adoption advantage. Verified: the pivotal study compares IsoPSA directly against total and %free PSA.</w:t>
      </w:r>
    </w:p>
    <w:p>
      <w:pPr>
        <w:pStyle w:val="Heading3"/>
        <w:spacing w:after="50" w:before="150"/>
      </w:pPr>
      <w:r>
        <w:rPr>
          <w:b/>
          <w:bCs/>
          <w:color w:val="1B5E5A"/>
          <w:sz w:val="22"/>
          <w:szCs w:val="22"/>
        </w:rPr>
        <w:t xml:space="preserve">Theme B — Clinical evidence</w:t>
      </w:r>
    </w:p>
    <w:p>
      <w:pPr>
        <w:spacing w:after="40" w:before="110"/>
      </w:pPr>
      <w:r>
        <w:rPr>
          <w:b/>
          <w:bCs/>
          <w:color w:val="1B5E5A"/>
          <w:sz w:val="21"/>
          <w:szCs w:val="21"/>
        </w:rPr>
        <w:t xml:space="preserve">Q3. </w:t>
      </w:r>
      <w:r>
        <w:rPr>
          <w:sz w:val="21"/>
          <w:szCs w:val="21"/>
        </w:rPr>
        <w:t xml:space="preserve">In your 888-patient pivotal study, IsoPSA showed 90.2% sensitivity and 45.5% specificity for high-grade cancer — versus about 20% specificity for total PSA and 14% for %free PSA at similar sensitivity. What does that specificity gain mean for a man deciding whether to get a biopsy?</w:t>
      </w:r>
      <w:hyperlink w:history="1" r:id="rIddct2bfzukyjqmoysihiet">
        <w:r>
          <w:rPr>
            <w:color w:val="2E7D8A"/>
            <w:sz w:val="16"/>
            <w:szCs w:val="16"/>
            <w:u w:val="single"/>
          </w:rPr>
          <w:t xml:space="preserve"> [CancerNetwork]</w:t>
        </w:r>
      </w:hyperlink>
      <w:hyperlink w:history="1" r:id="rIdopxkffhmlsjjainzzttof">
        <w:r>
          <w:rPr>
            <w:color w:val="2E7D8A"/>
            <w:sz w:val="16"/>
            <w:szCs w:val="16"/>
            <w:u w:val="single"/>
          </w:rPr>
          <w:t xml:space="preserve"> [OncLive]</w:t>
        </w:r>
      </w:hyperlink>
    </w:p>
    <w:p>
      <w:pPr>
        <w:spacing w:after="120"/>
        <w:ind w:left="360"/>
      </w:pPr>
      <w:r>
        <w:rPr>
          <w:b/>
          <w:bCs/>
          <w:i/>
          <w:iCs/>
          <w:color w:val="666666"/>
          <w:sz w:val="19"/>
          <w:szCs w:val="19"/>
        </w:rPr>
        <w:t xml:space="preserve">Why ask it: </w:t>
      </w:r>
      <w:r>
        <w:rPr>
          <w:i/>
          <w:iCs/>
          <w:color w:val="666666"/>
          <w:sz w:val="19"/>
          <w:szCs w:val="19"/>
        </w:rPr>
        <w:t xml:space="preserve">Anchors on the verified pivotal numbers (sens 90.2%, spec 45.5%, PPV 47.7%, NPV 89.3%, AUC 0.783; total PSA spec 20.2%, %free PSA spec 13.7%). Frames the benefit in patient terms.</w:t>
      </w:r>
    </w:p>
    <w:p>
      <w:pPr>
        <w:spacing w:after="40" w:before="110"/>
      </w:pPr>
      <w:r>
        <w:rPr>
          <w:b/>
          <w:bCs/>
          <w:color w:val="1B5E5A"/>
          <w:sz w:val="21"/>
          <w:szCs w:val="21"/>
        </w:rPr>
        <w:t xml:space="preserve">Q4. </w:t>
      </w:r>
      <w:r>
        <w:rPr>
          <w:sz w:val="21"/>
          <w:szCs w:val="21"/>
        </w:rPr>
        <w:t xml:space="preserve">The validation study estimated a 46% reduction in unnecessary biopsies, and your real-world utility study of 900 patients found a 55% net decrease with clinicians changing recommendations for 66% of patients. Of the roughly one million prostate biopsies a year, how many are you realistically preventing today?</w:t>
      </w:r>
      <w:hyperlink w:history="1" r:id="rId6asbf2sgn_gfuosahl3wc">
        <w:r>
          <w:rPr>
            <w:color w:val="2E7D8A"/>
            <w:sz w:val="16"/>
            <w:szCs w:val="16"/>
            <w:u w:val="single"/>
          </w:rPr>
          <w:t xml:space="preserve"> [ScienceDirect (46%)]</w:t>
        </w:r>
      </w:hyperlink>
      <w:hyperlink w:history="1" r:id="rIdr8v11kvd63v5gv5mzpm5a">
        <w:r>
          <w:rPr>
            <w:color w:val="2E7D8A"/>
            <w:sz w:val="16"/>
            <w:szCs w:val="16"/>
            <w:u w:val="single"/>
          </w:rPr>
          <w:t xml:space="preserve"> [OncLive (55%/66%)]</w:t>
        </w:r>
      </w:hyperlink>
    </w:p>
    <w:p>
      <w:pPr>
        <w:spacing w:after="120"/>
        <w:ind w:left="360"/>
      </w:pPr>
      <w:r>
        <w:rPr>
          <w:b/>
          <w:bCs/>
          <w:i/>
          <w:iCs/>
          <w:color w:val="666666"/>
          <w:sz w:val="19"/>
          <w:szCs w:val="19"/>
        </w:rPr>
        <w:t xml:space="preserve">Why ask it: </w:t>
      </w:r>
      <w:r>
        <w:rPr>
          <w:i/>
          <w:iCs/>
          <w:color w:val="666666"/>
          <w:sz w:val="19"/>
          <w:szCs w:val="19"/>
        </w:rPr>
        <w:t xml:space="preserve">Distinguishes the two verified figures — 46% is the validation-study estimate; 55%/66% is the real-world utility study — and pushes from statistics to real-world impact.</w:t>
      </w:r>
    </w:p>
    <w:p>
      <w:pPr>
        <w:spacing w:after="40" w:before="110"/>
      </w:pPr>
      <w:r>
        <w:rPr>
          <w:b/>
          <w:bCs/>
          <w:color w:val="1B5E5A"/>
          <w:sz w:val="21"/>
          <w:szCs w:val="21"/>
        </w:rPr>
        <w:t xml:space="preserve">Q5. </w:t>
      </w:r>
      <w:r>
        <w:rPr>
          <w:sz w:val="21"/>
          <w:szCs w:val="21"/>
        </w:rPr>
        <w:t xml:space="preserve">Your 2025 Urology longitudinal study found a low IsoPSA stays reassuring for up to 30 months — only about 4% of those men developed cancer within 2.5 years — while nearly 50% of high-index men developed clinically significant cancer in the same window. Are you now positioning IsoPSA as a monitoring tool, not just a one-time biopsy aid?</w:t>
      </w:r>
      <w:hyperlink w:history="1" r:id="rIdt-1o5hcmpcrftf-jgwdbk">
        <w:r>
          <w:rPr>
            <w:color w:val="2E7D8A"/>
            <w:sz w:val="16"/>
            <w:szCs w:val="16"/>
            <w:u w:val="single"/>
          </w:rPr>
          <w:t xml:space="preserve"> [PubMed]</w:t>
        </w:r>
      </w:hyperlink>
      <w:hyperlink w:history="1" r:id="rIdawaf4wnwuisztorpytjd2">
        <w:r>
          <w:rPr>
            <w:color w:val="2E7D8A"/>
            <w:sz w:val="16"/>
            <w:szCs w:val="16"/>
            <w:u w:val="single"/>
          </w:rPr>
          <w:t xml:space="preserve"> [Businesswire]</w:t>
        </w:r>
      </w:hyperlink>
    </w:p>
    <w:p>
      <w:pPr>
        <w:spacing w:after="120"/>
        <w:ind w:left="360"/>
      </w:pPr>
      <w:r>
        <w:rPr>
          <w:b/>
          <w:bCs/>
          <w:i/>
          <w:iCs/>
          <w:color w:val="666666"/>
          <w:sz w:val="19"/>
          <w:szCs w:val="19"/>
        </w:rPr>
        <w:t xml:space="preserve">Why ask it: </w:t>
      </w:r>
      <w:r>
        <w:rPr>
          <w:i/>
          <w:iCs/>
          <w:color w:val="666666"/>
          <w:sz w:val="19"/>
          <w:szCs w:val="19"/>
        </w:rPr>
        <w:t xml:space="preserve">Built on the verified, peer-reviewed durability data — arguably their strongest 2025 result. Invites Cleveland to expand the product's category, a bigger commercial story than triage alone.</w:t>
      </w:r>
    </w:p>
    <w:p>
      <w:pPr>
        <w:spacing w:after="40" w:before="110"/>
      </w:pPr>
      <w:r>
        <w:rPr>
          <w:b/>
          <w:bCs/>
          <w:color w:val="1B5E5A"/>
          <w:sz w:val="21"/>
          <w:szCs w:val="21"/>
        </w:rPr>
        <w:t xml:space="preserve">Q6. </w:t>
      </w:r>
      <w:r>
        <w:rPr>
          <w:sz w:val="21"/>
          <w:szCs w:val="21"/>
        </w:rPr>
        <w:t xml:space="preserve">Specificity for high-grade disease is around 45% — a big jump over raw PSA, but it still means a lot of men above the cutoff won't have aggressive cancer. How do you respond to that critique, and where's the ceiling on that number?</w:t>
      </w:r>
      <w:hyperlink w:history="1" r:id="rIdlhnvr-dkeywzj5w_e7waq">
        <w:r>
          <w:rPr>
            <w:color w:val="2E7D8A"/>
            <w:sz w:val="16"/>
            <w:szCs w:val="16"/>
            <w:u w:val="single"/>
          </w:rPr>
          <w:t xml:space="preserve"> [CancerNetwork]</w:t>
        </w:r>
      </w:hyperlink>
    </w:p>
    <w:p>
      <w:pPr>
        <w:spacing w:after="120"/>
        <w:ind w:left="360"/>
      </w:pPr>
      <w:r>
        <w:rPr>
          <w:b/>
          <w:bCs/>
          <w:i/>
          <w:iCs/>
          <w:color w:val="666666"/>
          <w:sz w:val="19"/>
          <w:szCs w:val="19"/>
        </w:rPr>
        <w:t xml:space="preserve">Why ask it: </w:t>
      </w:r>
      <w:r>
        <w:rPr>
          <w:i/>
          <w:iCs/>
          <w:color w:val="666666"/>
          <w:sz w:val="19"/>
          <w:szCs w:val="19"/>
        </w:rPr>
        <w:t xml:space="preserve">Rigorous and fair — lets Cleveland contextualize 45.5% against the much worse status quo while acknowledging the honest limitation.</w:t>
      </w:r>
    </w:p>
    <w:p>
      <w:pPr>
        <w:pStyle w:val="Heading3"/>
        <w:spacing w:after="50" w:before="150"/>
      </w:pPr>
      <w:r>
        <w:rPr>
          <w:b/>
          <w:bCs/>
          <w:color w:val="1B5E5A"/>
          <w:sz w:val="22"/>
          <w:szCs w:val="22"/>
        </w:rPr>
        <w:t xml:space="preserve">Theme C — Regulatory &amp; manufacturing</w:t>
      </w:r>
    </w:p>
    <w:p>
      <w:pPr>
        <w:spacing w:after="40" w:before="110"/>
      </w:pPr>
      <w:r>
        <w:rPr>
          <w:b/>
          <w:bCs/>
          <w:color w:val="1B5E5A"/>
          <w:sz w:val="21"/>
          <w:szCs w:val="21"/>
        </w:rPr>
        <w:t xml:space="preserve">Q7. </w:t>
      </w:r>
      <w:r>
        <w:rPr>
          <w:sz w:val="21"/>
          <w:szCs w:val="21"/>
        </w:rPr>
        <w:t xml:space="preserve">You took IsoPSA all the way through FDA premarket approval in December 2025 rather than staying a lab-developed test, then added ISO 13485 certification. Why choose the harder PMA path, and what does becoming a shippable IVD kit unlock?</w:t>
      </w:r>
      <w:hyperlink w:history="1" r:id="rIdtdfgx9mxw0neg80vi4cds">
        <w:r>
          <w:rPr>
            <w:color w:val="2E7D8A"/>
            <w:sz w:val="16"/>
            <w:szCs w:val="16"/>
            <w:u w:val="single"/>
          </w:rPr>
          <w:t xml:space="preserve"> [FDA approval]</w:t>
        </w:r>
      </w:hyperlink>
      <w:hyperlink w:history="1" r:id="rIdwt-bg_1mv30yhgkgiuegx">
        <w:r>
          <w:rPr>
            <w:color w:val="2E7D8A"/>
            <w:sz w:val="16"/>
            <w:szCs w:val="16"/>
            <w:u w:val="single"/>
          </w:rPr>
          <w:t xml:space="preserve"> [ISO cert]</w:t>
        </w:r>
      </w:hyperlink>
    </w:p>
    <w:p>
      <w:pPr>
        <w:spacing w:after="120"/>
        <w:ind w:left="360"/>
      </w:pPr>
      <w:r>
        <w:rPr>
          <w:b/>
          <w:bCs/>
          <w:i/>
          <w:iCs/>
          <w:color w:val="666666"/>
          <w:sz w:val="19"/>
          <w:szCs w:val="19"/>
        </w:rPr>
        <w:t xml:space="preserve">Why ask it: </w:t>
      </w:r>
      <w:r>
        <w:rPr>
          <w:i/>
          <w:iCs/>
          <w:color w:val="666666"/>
          <w:sz w:val="19"/>
          <w:szCs w:val="19"/>
        </w:rPr>
        <w:t xml:space="preserve">Their signature 2025–26 achievement; the LDT-vs-IVD decision is especially interesting given the shifting FDA LDT landscape.</w:t>
      </w:r>
    </w:p>
    <w:p>
      <w:pPr>
        <w:spacing w:after="40" w:before="110"/>
      </w:pPr>
      <w:r>
        <w:rPr>
          <w:b/>
          <w:bCs/>
          <w:color w:val="1B5E5A"/>
          <w:sz w:val="21"/>
          <w:szCs w:val="21"/>
        </w:rPr>
        <w:t xml:space="preserve">Q8. </w:t>
      </w:r>
      <w:r>
        <w:rPr>
          <w:sz w:val="21"/>
          <w:szCs w:val="21"/>
        </w:rPr>
        <w:t xml:space="preserve">Moving from a lab-developed test to a kit shipped to labs nationwide changes the economics. How does running IsoPSA locally compare, for a lab, with sending samples to your central lab — and how fast does the kit model displace the old one?</w:t>
      </w:r>
      <w:hyperlink w:history="1" r:id="rIdzyeyqo14awwypg82l1jps">
        <w:r>
          <w:rPr>
            <w:color w:val="2E7D8A"/>
            <w:sz w:val="16"/>
            <w:szCs w:val="16"/>
            <w:u w:val="single"/>
          </w:rPr>
          <w:t xml:space="preserve"> [MDedge (nationwide)]</w:t>
        </w:r>
      </w:hyperlink>
    </w:p>
    <w:p>
      <w:pPr>
        <w:spacing w:after="120"/>
        <w:ind w:left="360"/>
      </w:pPr>
      <w:r>
        <w:rPr>
          <w:b/>
          <w:bCs/>
          <w:i/>
          <w:iCs/>
          <w:color w:val="666666"/>
          <w:sz w:val="19"/>
          <w:szCs w:val="19"/>
        </w:rPr>
        <w:t xml:space="preserve">Why ask it: </w:t>
      </w:r>
      <w:r>
        <w:rPr>
          <w:i/>
          <w:iCs/>
          <w:color w:val="666666"/>
          <w:sz w:val="19"/>
          <w:szCs w:val="19"/>
        </w:rPr>
        <w:t xml:space="preserve">Gets at one of the deepest practical consequences of the IVD transition — lab economics and rollout speed.</w:t>
      </w:r>
    </w:p>
    <w:p>
      <w:pPr>
        <w:pStyle w:val="Heading3"/>
        <w:spacing w:after="50" w:before="150"/>
      </w:pPr>
      <w:r>
        <w:rPr>
          <w:b/>
          <w:bCs/>
          <w:color w:val="1B5E5A"/>
          <w:sz w:val="22"/>
          <w:szCs w:val="22"/>
        </w:rPr>
        <w:t xml:space="preserve">Theme D — Commercialization &amp; access</w:t>
      </w:r>
    </w:p>
    <w:p>
      <w:pPr>
        <w:spacing w:after="40" w:before="110"/>
      </w:pPr>
      <w:r>
        <w:rPr>
          <w:b/>
          <w:bCs/>
          <w:color w:val="1B5E5A"/>
          <w:sz w:val="21"/>
          <w:szCs w:val="21"/>
        </w:rPr>
        <w:t xml:space="preserve">Q9. </w:t>
      </w:r>
      <w:r>
        <w:rPr>
          <w:sz w:val="21"/>
          <w:szCs w:val="21"/>
        </w:rPr>
        <w:t xml:space="preserve">You already have Medicare coverage, NCCN and AUA/SUO guideline inclusion, and a Quest agreement for nationwide collection. With those pieces in place, what still most limits national adoption of IsoPSA?</w:t>
      </w:r>
      <w:hyperlink w:history="1" r:id="rIdf8a65mzq8qhpja0isowxy">
        <w:r>
          <w:rPr>
            <w:color w:val="2E7D8A"/>
            <w:sz w:val="16"/>
            <w:szCs w:val="16"/>
            <w:u w:val="single"/>
          </w:rPr>
          <w:t xml:space="preserve"> [FDA approval PR]</w:t>
        </w:r>
      </w:hyperlink>
      <w:hyperlink w:history="1" r:id="rIdsvb-jumhay-jjpyrqfcmu">
        <w:r>
          <w:rPr>
            <w:color w:val="2E7D8A"/>
            <w:sz w:val="16"/>
            <w:szCs w:val="16"/>
            <w:u w:val="single"/>
          </w:rPr>
          <w:t xml:space="preserve"> [Clinical data]</w:t>
        </w:r>
      </w:hyperlink>
    </w:p>
    <w:p>
      <w:pPr>
        <w:spacing w:after="120"/>
        <w:ind w:left="360"/>
      </w:pPr>
      <w:r>
        <w:rPr>
          <w:b/>
          <w:bCs/>
          <w:i/>
          <w:iCs/>
          <w:color w:val="666666"/>
          <w:sz w:val="19"/>
          <w:szCs w:val="19"/>
        </w:rPr>
        <w:t xml:space="preserve">Why ask it: </w:t>
      </w:r>
      <w:r>
        <w:rPr>
          <w:i/>
          <w:iCs/>
          <w:color w:val="666666"/>
          <w:sz w:val="19"/>
          <w:szCs w:val="19"/>
        </w:rPr>
        <w:t xml:space="preserve">Cleveland has commercial pieces most diagnostics companies never reach; this asks the honest question of why adoption still isn't universal.</w:t>
      </w:r>
    </w:p>
    <w:p>
      <w:pPr>
        <w:spacing w:after="40" w:before="110"/>
      </w:pPr>
      <w:r>
        <w:rPr>
          <w:b/>
          <w:bCs/>
          <w:color w:val="1B5E5A"/>
          <w:sz w:val="21"/>
          <w:szCs w:val="21"/>
        </w:rPr>
        <w:t xml:space="preserve">Q10. </w:t>
      </w:r>
      <w:r>
        <w:rPr>
          <w:sz w:val="21"/>
          <w:szCs w:val="21"/>
        </w:rPr>
        <w:t xml:space="preserve">Your SUO 2025 data showed IsoPSA works whether or not a man has had an MRI. In the real urology workflow, where do you most want the test used — before MRI, after it, or mainly for men on the fence about biopsy?</w:t>
      </w:r>
      <w:hyperlink w:history="1" r:id="rIdxlzvmafwung-alehgyqdn">
        <w:r>
          <w:rPr>
            <w:color w:val="2E7D8A"/>
            <w:sz w:val="16"/>
            <w:szCs w:val="16"/>
            <w:u w:val="single"/>
          </w:rPr>
          <w:t xml:space="preserve"> [Urology Times SUO]</w:t>
        </w:r>
      </w:hyperlink>
    </w:p>
    <w:p>
      <w:pPr>
        <w:spacing w:after="120"/>
        <w:ind w:left="360"/>
      </w:pPr>
      <w:r>
        <w:rPr>
          <w:b/>
          <w:bCs/>
          <w:i/>
          <w:iCs/>
          <w:color w:val="666666"/>
          <w:sz w:val="19"/>
          <w:szCs w:val="19"/>
        </w:rPr>
        <w:t xml:space="preserve">Why ask it: </w:t>
      </w:r>
      <w:r>
        <w:rPr>
          <w:i/>
          <w:iCs/>
          <w:color w:val="666666"/>
          <w:sz w:val="19"/>
          <w:szCs w:val="19"/>
        </w:rPr>
        <w:t xml:space="preserve">The MRI-independence data are verified; the best implementation slot is still something Cleveland should define clearly for clinicians.</w:t>
      </w:r>
    </w:p>
    <w:p>
      <w:pPr>
        <w:pStyle w:val="Heading3"/>
        <w:spacing w:after="50" w:before="150"/>
      </w:pPr>
      <w:r>
        <w:rPr>
          <w:b/>
          <w:bCs/>
          <w:color w:val="1B5E5A"/>
          <w:sz w:val="22"/>
          <w:szCs w:val="22"/>
        </w:rPr>
        <w:t xml:space="preserve">Theme E — Leadership &amp; pipeline</w:t>
      </w:r>
    </w:p>
    <w:p>
      <w:pPr>
        <w:spacing w:after="40" w:before="110"/>
      </w:pPr>
      <w:r>
        <w:rPr>
          <w:b/>
          <w:bCs/>
          <w:color w:val="1B5E5A"/>
          <w:sz w:val="21"/>
          <w:szCs w:val="21"/>
        </w:rPr>
        <w:t xml:space="preserve">Q11. </w:t>
      </w:r>
      <w:r>
        <w:rPr>
          <w:sz w:val="21"/>
          <w:szCs w:val="21"/>
        </w:rPr>
        <w:t xml:space="preserve">You brought in a new CEO in January 2026 to drive commercialization, and co-founder Arnon Chait moved to Chief Innovation Officer. What changed in the business that called for that kind of leadership reset right after FDA approval?</w:t>
      </w:r>
      <w:hyperlink w:history="1" r:id="rIdy4n8hqynxgsyrfedmf5kn">
        <w:r>
          <w:rPr>
            <w:color w:val="2E7D8A"/>
            <w:sz w:val="16"/>
            <w:szCs w:val="16"/>
            <w:u w:val="single"/>
          </w:rPr>
          <w:t xml:space="preserve"> [CEO PR]</w:t>
        </w:r>
      </w:hyperlink>
    </w:p>
    <w:p>
      <w:pPr>
        <w:spacing w:after="120"/>
        <w:ind w:left="360"/>
      </w:pPr>
      <w:r>
        <w:rPr>
          <w:b/>
          <w:bCs/>
          <w:i/>
          <w:iCs/>
          <w:color w:val="666666"/>
          <w:sz w:val="19"/>
          <w:szCs w:val="19"/>
        </w:rPr>
        <w:t xml:space="preserve">Why ask it: </w:t>
      </w:r>
      <w:r>
        <w:rPr>
          <w:i/>
          <w:iCs/>
          <w:color w:val="666666"/>
          <w:sz w:val="19"/>
          <w:szCs w:val="19"/>
        </w:rPr>
        <w:t xml:space="preserve">Timely and verifiable; invites reflection on how FDA approval changes the talent profile a diagnostics company needs.</w:t>
      </w:r>
    </w:p>
    <w:p>
      <w:pPr>
        <w:spacing w:after="40" w:before="110"/>
      </w:pPr>
      <w:r>
        <w:rPr>
          <w:b/>
          <w:bCs/>
          <w:color w:val="1B5E5A"/>
          <w:sz w:val="21"/>
          <w:szCs w:val="21"/>
        </w:rPr>
        <w:t xml:space="preserve">Q12. </w:t>
      </w:r>
      <w:r>
        <w:rPr>
          <w:sz w:val="21"/>
          <w:szCs w:val="21"/>
        </w:rPr>
        <w:t xml:space="preserve">You've said the IsoClear platform can extend to breast, lung, and other cancers, but there's no publicly named second product in late-stage validation yet. What's the gating milestone that turns those from platform hypotheses into real programs?</w:t>
      </w:r>
      <w:hyperlink w:history="1" r:id="rIdi-be4qa4f43utwn_1lxwb">
        <w:r>
          <w:rPr>
            <w:color w:val="2E7D8A"/>
            <w:sz w:val="16"/>
            <w:szCs w:val="16"/>
            <w:u w:val="single"/>
          </w:rPr>
          <w:t xml:space="preserve"> [Fierce Biotech]</w:t>
        </w:r>
      </w:hyperlink>
      <w:hyperlink w:history="1" r:id="rIdk0p0dqjeu-dgxtihndhmf">
        <w:r>
          <w:rPr>
            <w:color w:val="2E7D8A"/>
            <w:sz w:val="16"/>
            <w:szCs w:val="16"/>
            <w:u w:val="single"/>
          </w:rPr>
          <w:t xml:space="preserve"> [$75M PR]</w:t>
        </w:r>
      </w:hyperlink>
    </w:p>
    <w:p>
      <w:pPr>
        <w:spacing w:after="120"/>
        <w:ind w:left="360"/>
      </w:pPr>
      <w:r>
        <w:rPr>
          <w:b/>
          <w:bCs/>
          <w:i/>
          <w:iCs/>
          <w:color w:val="666666"/>
          <w:sz w:val="19"/>
          <w:szCs w:val="19"/>
        </w:rPr>
        <w:t xml:space="preserve">Why ask it: </w:t>
      </w:r>
      <w:r>
        <w:rPr>
          <w:i/>
          <w:iCs/>
          <w:color w:val="666666"/>
          <w:sz w:val="19"/>
          <w:szCs w:val="19"/>
        </w:rPr>
        <w:t xml:space="preserve">Pushes for concreteness on the pipeline, which is still described conceptually rather than as named, dated programs.</w:t>
      </w:r>
    </w:p>
    <w:p>
      <w:pPr>
        <w:pBdr>
          <w:bottom w:val="single" w:color="1B5E5A" w:sz="8" w:space="1"/>
        </w:pBdr>
        <w:spacing w:after="120"/>
      </w:pPr>
      <w:r>
        <w:t xml:space="preserve"/>
      </w:r>
    </w:p>
    <w:p>
      <w:pPr>
        <w:pStyle w:val="Heading2"/>
        <w:spacing w:after="80" w:before="200"/>
      </w:pPr>
      <w:r>
        <w:rPr>
          <w:b/>
          <w:bCs/>
          <w:color w:val="1B5E5A"/>
          <w:sz w:val="25"/>
          <w:szCs w:val="25"/>
        </w:rPr>
        <w:t xml:space="preserve">Backup questions (Cleveland)</w:t>
      </w:r>
    </w:p>
    <w:p>
      <w:pPr>
        <w:spacing w:after="40" w:before="110"/>
      </w:pPr>
      <w:r>
        <w:rPr>
          <w:b/>
          <w:bCs/>
          <w:color w:val="1B5E5A"/>
          <w:sz w:val="21"/>
          <w:szCs w:val="21"/>
        </w:rPr>
        <w:t xml:space="preserve">Q13. </w:t>
      </w:r>
      <w:r>
        <w:rPr>
          <w:sz w:val="21"/>
          <w:szCs w:val="21"/>
        </w:rPr>
        <w:t xml:space="preserve">Your method came out of physics and separation science, not molecular biology. How did that outsider origin shape a test that works so differently from the rest of the field?</w:t>
      </w:r>
      <w:hyperlink w:history="1" r:id="rIda93xjge4itycwiw7u15zy">
        <w:r>
          <w:rPr>
            <w:color w:val="2E7D8A"/>
            <w:sz w:val="16"/>
            <w:szCs w:val="16"/>
            <w:u w:val="single"/>
          </w:rPr>
          <w:t xml:space="preserve"> [Company history]</w:t>
        </w:r>
      </w:hyperlink>
    </w:p>
    <w:p>
      <w:pPr>
        <w:spacing w:after="120"/>
        <w:ind w:left="360"/>
      </w:pPr>
      <w:r>
        <w:rPr>
          <w:b/>
          <w:bCs/>
          <w:i/>
          <w:iCs/>
          <w:color w:val="666666"/>
          <w:sz w:val="19"/>
          <w:szCs w:val="19"/>
        </w:rPr>
        <w:t xml:space="preserve">Why ask it: </w:t>
      </w:r>
      <w:r>
        <w:rPr>
          <w:i/>
          <w:iCs/>
          <w:color w:val="666666"/>
          <w:sz w:val="19"/>
          <w:szCs w:val="19"/>
        </w:rPr>
        <w:t xml:space="preserve">Strong human-interest / origin question; the ex-NASA-physicist founding story is memorable.</w:t>
      </w:r>
    </w:p>
    <w:p>
      <w:pPr>
        <w:spacing w:after="40" w:before="110"/>
      </w:pPr>
      <w:r>
        <w:rPr>
          <w:b/>
          <w:bCs/>
          <w:color w:val="1B5E5A"/>
          <w:sz w:val="21"/>
          <w:szCs w:val="21"/>
        </w:rPr>
        <w:t xml:space="preserve">Q14. </w:t>
      </w:r>
      <w:r>
        <w:rPr>
          <w:sz w:val="21"/>
          <w:szCs w:val="21"/>
        </w:rPr>
        <w:t xml:space="preserve">FDA approval was called the culmination of a decade of work with Cleveland Clinic. What kept the team going through the long, unglamorous middle years?</w:t>
      </w:r>
      <w:hyperlink w:history="1" r:id="rId4x2tnesbv_2daofedalyr">
        <w:r>
          <w:rPr>
            <w:color w:val="2E7D8A"/>
            <w:sz w:val="16"/>
            <w:szCs w:val="16"/>
            <w:u w:val="single"/>
          </w:rPr>
          <w:t xml:space="preserve"> [Urology Times (Klein quote)]</w:t>
        </w:r>
      </w:hyperlink>
    </w:p>
    <w:p>
      <w:pPr>
        <w:spacing w:after="120"/>
        <w:ind w:left="360"/>
      </w:pPr>
      <w:r>
        <w:rPr>
          <w:b/>
          <w:bCs/>
          <w:i/>
          <w:iCs/>
          <w:color w:val="666666"/>
          <w:sz w:val="19"/>
          <w:szCs w:val="19"/>
        </w:rPr>
        <w:t xml:space="preserve">Why ask it: </w:t>
      </w:r>
      <w:r>
        <w:rPr>
          <w:i/>
          <w:iCs/>
          <w:color w:val="666666"/>
          <w:sz w:val="19"/>
          <w:szCs w:val="19"/>
        </w:rPr>
        <w:t xml:space="preserve">Reflective, morale-and-perseverance question; a nice tonal change of pace.</w:t>
      </w:r>
    </w:p>
    <w:p>
      <w:pPr>
        <w:spacing w:after="40" w:before="110"/>
      </w:pPr>
      <w:r>
        <w:rPr>
          <w:b/>
          <w:bCs/>
          <w:color w:val="1B5E5A"/>
          <w:sz w:val="21"/>
          <w:szCs w:val="21"/>
        </w:rPr>
        <w:t xml:space="preserve">Q15. </w:t>
      </w:r>
      <w:r>
        <w:rPr>
          <w:sz w:val="21"/>
          <w:szCs w:val="21"/>
        </w:rPr>
        <w:t xml:space="preserve">You raised more than $75 million led by Novo Holdings, plus JobsOhio backing. What did that capital let you do that you couldn't before, and what's the next raise for?</w:t>
      </w:r>
      <w:hyperlink w:history="1" r:id="rIde3qzztyy59z56_3g0n4ac">
        <w:r>
          <w:rPr>
            <w:color w:val="2E7D8A"/>
            <w:sz w:val="16"/>
            <w:szCs w:val="16"/>
            <w:u w:val="single"/>
          </w:rPr>
          <w:t xml:space="preserve"> [$75M PR]</w:t>
        </w:r>
      </w:hyperlink>
    </w:p>
    <w:p>
      <w:pPr>
        <w:spacing w:after="120"/>
        <w:ind w:left="360"/>
      </w:pPr>
      <w:r>
        <w:rPr>
          <w:b/>
          <w:bCs/>
          <w:i/>
          <w:iCs/>
          <w:color w:val="666666"/>
          <w:sz w:val="19"/>
          <w:szCs w:val="19"/>
        </w:rPr>
        <w:t xml:space="preserve">Why ask it: </w:t>
      </w:r>
      <w:r>
        <w:rPr>
          <w:i/>
          <w:iCs/>
          <w:color w:val="666666"/>
          <w:sz w:val="19"/>
          <w:szCs w:val="19"/>
        </w:rPr>
        <w:t xml:space="preserve">Concrete, verifiable financing milestone; lets Cleveland connect capital to strategy.</w:t>
      </w:r>
    </w:p>
    <w:p>
      <w:pPr>
        <w:spacing w:after="40" w:before="110"/>
      </w:pPr>
      <w:r>
        <w:rPr>
          <w:b/>
          <w:bCs/>
          <w:color w:val="1B5E5A"/>
          <w:sz w:val="21"/>
          <w:szCs w:val="21"/>
        </w:rPr>
        <w:t xml:space="preserve">Q16. </w:t>
      </w:r>
      <w:r>
        <w:rPr>
          <w:sz w:val="21"/>
          <w:szCs w:val="21"/>
        </w:rPr>
        <w:t xml:space="preserve">You've signed a Korea distribution deal alongside your US Quest agreement. What's the right commercial model for a novel diagnostic — partner with big reference labs, or build your own channel?</w:t>
      </w:r>
      <w:hyperlink w:history="1" r:id="rId3vl17kk_zbvbvjdkcy7kr">
        <w:r>
          <w:rPr>
            <w:color w:val="2E7D8A"/>
            <w:sz w:val="16"/>
            <w:szCs w:val="16"/>
            <w:u w:val="single"/>
          </w:rPr>
          <w:t xml:space="preserve"> [Korea PR]</w:t>
        </w:r>
      </w:hyperlink>
    </w:p>
    <w:p>
      <w:pPr>
        <w:spacing w:after="120"/>
        <w:ind w:left="360"/>
      </w:pPr>
      <w:r>
        <w:rPr>
          <w:b/>
          <w:bCs/>
          <w:i/>
          <w:iCs/>
          <w:color w:val="666666"/>
          <w:sz w:val="19"/>
          <w:szCs w:val="19"/>
        </w:rPr>
        <w:t xml:space="preserve">Why ask it: </w:t>
      </w:r>
      <w:r>
        <w:rPr>
          <w:i/>
          <w:iCs/>
          <w:color w:val="666666"/>
          <w:sz w:val="19"/>
          <w:szCs w:val="19"/>
        </w:rPr>
        <w:t xml:space="preserve">Grounded in deals Cleveland has actually done; draws out channel strategy.</w:t>
      </w:r>
    </w:p>
    <w:p>
      <w:pPr>
        <w:spacing w:after="40" w:before="110"/>
      </w:pPr>
      <w:r>
        <w:rPr>
          <w:b/>
          <w:bCs/>
          <w:color w:val="1B5E5A"/>
          <w:sz w:val="21"/>
          <w:szCs w:val="21"/>
        </w:rPr>
        <w:t xml:space="preserve">Q17. </w:t>
      </w:r>
      <w:r>
        <w:rPr>
          <w:sz w:val="21"/>
          <w:szCs w:val="21"/>
        </w:rPr>
        <w:t xml:space="preserve">Do urologists see IsoPSA mainly as a biopsy-reduction tool, or as a confidence tool that helps them pick the right men for biopsy faster? Does the framing change how you sell it?</w:t>
      </w:r>
      <w:hyperlink w:history="1" r:id="rIdvlvslfkqlawm77o6hnzrr">
        <w:r>
          <w:rPr>
            <w:color w:val="2E7D8A"/>
            <w:sz w:val="16"/>
            <w:szCs w:val="16"/>
            <w:u w:val="single"/>
          </w:rPr>
          <w:t xml:space="preserve"> [Managed Healthcare Exec]</w:t>
        </w:r>
      </w:hyperlink>
    </w:p>
    <w:p>
      <w:pPr>
        <w:spacing w:after="120"/>
        <w:ind w:left="360"/>
      </w:pPr>
      <w:r>
        <w:rPr>
          <w:b/>
          <w:bCs/>
          <w:i/>
          <w:iCs/>
          <w:color w:val="666666"/>
          <w:sz w:val="19"/>
          <w:szCs w:val="19"/>
        </w:rPr>
        <w:t xml:space="preserve">Why ask it: </w:t>
      </w:r>
      <w:r>
        <w:rPr>
          <w:i/>
          <w:iCs/>
          <w:color w:val="666666"/>
          <w:sz w:val="19"/>
          <w:szCs w:val="19"/>
        </w:rPr>
        <w:t xml:space="preserve">Probes whether the emotional value proposition differs from the official clinical one — often produces candid answers.</w:t>
      </w:r>
    </w:p>
    <w:p>
      <w:r>
        <w:br w:type="page"/>
      </w:r>
    </w:p>
    <w:p>
      <w:pPr>
        <w:pStyle w:val="Heading1"/>
        <w:spacing w:after="120" w:before="240"/>
      </w:pPr>
      <w:r>
        <w:rPr>
          <w:b/>
          <w:bCs/>
          <w:color w:val="1F4E5B"/>
          <w:sz w:val="34"/>
          <w:szCs w:val="34"/>
        </w:rPr>
        <w:t xml:space="preserve">Crossover — Works for Either Call</w:t>
      </w:r>
    </w:p>
    <w:p>
      <w:pPr>
        <w:spacing w:after="100"/>
      </w:pPr>
      <w:r>
        <w:rPr>
          <w:i/>
          <w:iCs/>
          <w:color w:val="666666"/>
          <w:sz w:val="20"/>
          <w:szCs w:val="20"/>
        </w:rPr>
        <w:t xml:space="preserve">General diagnostics-industry questions you can drop into either conversation if you have time or a guest gives short answers. Not company-specific, so no company-specific metrics to verify — but sources are attached where a question references a concrete fact.</w:t>
      </w:r>
    </w:p>
    <w:p>
      <w:pPr>
        <w:pStyle w:val="Heading3"/>
        <w:spacing w:after="50" w:before="150"/>
      </w:pPr>
      <w:r>
        <w:rPr>
          <w:b/>
          <w:bCs/>
          <w:color w:val="1F4E5B"/>
          <w:sz w:val="22"/>
          <w:szCs w:val="22"/>
        </w:rPr>
        <w:t xml:space="preserve">Evidence &amp; credibility</w:t>
      </w:r>
    </w:p>
    <w:p>
      <w:pPr>
        <w:spacing w:after="40" w:before="110"/>
      </w:pPr>
      <w:r>
        <w:rPr>
          <w:b/>
          <w:bCs/>
          <w:color w:val="1F4E5B"/>
          <w:sz w:val="21"/>
          <w:szCs w:val="21"/>
        </w:rPr>
        <w:t xml:space="preserve">Q1. </w:t>
      </w:r>
      <w:r>
        <w:rPr>
          <w:sz w:val="21"/>
          <w:szCs w:val="21"/>
        </w:rPr>
        <w:t xml:space="preserve">What is the actual evidence threshold that changes physician behavior in 2026 — a peer-reviewed publication, a prospective trial, guideline inclusion, a payer win, or something else?</w:t>
      </w:r>
    </w:p>
    <w:p>
      <w:pPr>
        <w:spacing w:after="120"/>
        <w:ind w:left="360"/>
      </w:pPr>
      <w:r>
        <w:rPr>
          <w:b/>
          <w:bCs/>
          <w:i/>
          <w:iCs/>
          <w:color w:val="666666"/>
          <w:sz w:val="19"/>
          <w:szCs w:val="19"/>
        </w:rPr>
        <w:t xml:space="preserve">Why ask it: </w:t>
      </w:r>
      <w:r>
        <w:rPr>
          <w:i/>
          <w:iCs/>
          <w:color w:val="666666"/>
          <w:sz w:val="19"/>
          <w:szCs w:val="19"/>
        </w:rPr>
        <w:t xml:space="preserve">The single best cross-cutting question — one company is closer to 'promising but not yet routine,' the other to 'commercially real but scaling.' Great for comparing philosophies across the two calls.</w:t>
      </w:r>
    </w:p>
    <w:p>
      <w:pPr>
        <w:spacing w:after="40" w:before="110"/>
      </w:pPr>
      <w:r>
        <w:rPr>
          <w:b/>
          <w:bCs/>
          <w:color w:val="1F4E5B"/>
          <w:sz w:val="21"/>
          <w:szCs w:val="21"/>
        </w:rPr>
        <w:t xml:space="preserve">Q2. </w:t>
      </w:r>
      <w:r>
        <w:rPr>
          <w:sz w:val="21"/>
          <w:szCs w:val="21"/>
        </w:rPr>
        <w:t xml:space="preserve">How much does performance in a landmark trial biobank — like UKCTOCS, NLST, or a large prospective validation — actually predict performance in a messy, real-world population?</w:t>
      </w:r>
    </w:p>
    <w:p>
      <w:pPr>
        <w:spacing w:after="120"/>
        <w:ind w:left="360"/>
      </w:pPr>
      <w:r>
        <w:rPr>
          <w:b/>
          <w:bCs/>
          <w:i/>
          <w:iCs/>
          <w:color w:val="666666"/>
          <w:sz w:val="19"/>
          <w:szCs w:val="19"/>
        </w:rPr>
        <w:t xml:space="preserve">Why ask it: </w:t>
      </w:r>
      <w:r>
        <w:rPr>
          <w:i/>
          <w:iCs/>
          <w:color w:val="666666"/>
          <w:sz w:val="19"/>
          <w:szCs w:val="19"/>
        </w:rPr>
        <w:t xml:space="preserve">Sophisticated methodological question both companies can engage substantively, since both lean on biobank-derived evidence.</w:t>
      </w:r>
    </w:p>
    <w:p>
      <w:pPr>
        <w:spacing w:after="40" w:before="110"/>
      </w:pPr>
      <w:r>
        <w:rPr>
          <w:b/>
          <w:bCs/>
          <w:color w:val="1F4E5B"/>
          <w:sz w:val="21"/>
          <w:szCs w:val="21"/>
        </w:rPr>
        <w:t xml:space="preserve">Q3. </w:t>
      </w:r>
      <w:r>
        <w:rPr>
          <w:sz w:val="21"/>
          <w:szCs w:val="21"/>
        </w:rPr>
        <w:t xml:space="preserve">There's a lot of burned trust in this space — the Theranos shadow, GRAIL's ups and downs. How do you earn credibility with clinicians who've learned to be skeptical of a 'revolutionary' blood test?</w:t>
      </w:r>
    </w:p>
    <w:p>
      <w:pPr>
        <w:spacing w:after="120"/>
        <w:ind w:left="360"/>
      </w:pPr>
      <w:r>
        <w:rPr>
          <w:b/>
          <w:bCs/>
          <w:i/>
          <w:iCs/>
          <w:color w:val="666666"/>
          <w:sz w:val="19"/>
          <w:szCs w:val="19"/>
        </w:rPr>
        <w:t xml:space="preserve">Why ask it: </w:t>
      </w:r>
      <w:r>
        <w:rPr>
          <w:i/>
          <w:iCs/>
          <w:color w:val="666666"/>
          <w:sz w:val="19"/>
          <w:szCs w:val="19"/>
        </w:rPr>
        <w:t xml:space="preserve">Names the elephant in the room; each company's rigor — peer-reviewed data, FDA, guidelines — is the answer. Works in either call.</w:t>
      </w:r>
    </w:p>
    <w:p>
      <w:pPr>
        <w:pStyle w:val="Heading3"/>
        <w:spacing w:after="50" w:before="150"/>
      </w:pPr>
      <w:r>
        <w:rPr>
          <w:b/>
          <w:bCs/>
          <w:color w:val="1F4E5B"/>
          <w:sz w:val="22"/>
          <w:szCs w:val="22"/>
        </w:rPr>
        <w:t xml:space="preserve">Business &amp; adoption</w:t>
      </w:r>
    </w:p>
    <w:p>
      <w:pPr>
        <w:spacing w:after="40" w:before="110"/>
      </w:pPr>
      <w:r>
        <w:rPr>
          <w:b/>
          <w:bCs/>
          <w:color w:val="1F4E5B"/>
          <w:sz w:val="21"/>
          <w:szCs w:val="21"/>
        </w:rPr>
        <w:t xml:space="preserve">Q4. </w:t>
      </w:r>
      <w:r>
        <w:rPr>
          <w:sz w:val="21"/>
          <w:szCs w:val="21"/>
        </w:rPr>
        <w:t xml:space="preserve">What's the biggest adoption bottleneck outsiders still underestimate — physician inertia, payer coverage, lab implementation, patient anxiety, or fitting into an already crowded care pathway?</w:t>
      </w:r>
    </w:p>
    <w:p>
      <w:pPr>
        <w:spacing w:after="120"/>
        <w:ind w:left="360"/>
      </w:pPr>
      <w:r>
        <w:rPr>
          <w:b/>
          <w:bCs/>
          <w:i/>
          <w:iCs/>
          <w:color w:val="666666"/>
          <w:sz w:val="19"/>
          <w:szCs w:val="19"/>
        </w:rPr>
        <w:t xml:space="preserve">Why ask it: </w:t>
      </w:r>
      <w:r>
        <w:rPr>
          <w:i/>
          <w:iCs/>
          <w:color w:val="666666"/>
          <w:sz w:val="19"/>
          <w:szCs w:val="19"/>
        </w:rPr>
        <w:t xml:space="preserve">Practical and revealing; tends to generate real insight rather than marketing language.</w:t>
      </w:r>
    </w:p>
    <w:p>
      <w:pPr>
        <w:spacing w:after="40" w:before="110"/>
      </w:pPr>
      <w:r>
        <w:rPr>
          <w:b/>
          <w:bCs/>
          <w:color w:val="1F4E5B"/>
          <w:sz w:val="21"/>
          <w:szCs w:val="21"/>
        </w:rPr>
        <w:t xml:space="preserve">Q5. </w:t>
      </w:r>
      <w:r>
        <w:rPr>
          <w:sz w:val="21"/>
          <w:szCs w:val="21"/>
        </w:rPr>
        <w:t xml:space="preserve">Where have you seen the biggest mismatch between how investors talk about diagnostics adoption and how clinicians actually adopt new tests?</w:t>
      </w:r>
    </w:p>
    <w:p>
      <w:pPr>
        <w:spacing w:after="120"/>
        <w:ind w:left="360"/>
      </w:pPr>
      <w:r>
        <w:rPr>
          <w:b/>
          <w:bCs/>
          <w:i/>
          <w:iCs/>
          <w:color w:val="666666"/>
          <w:sz w:val="19"/>
          <w:szCs w:val="19"/>
        </w:rPr>
        <w:t xml:space="preserve">Why ask it: </w:t>
      </w:r>
      <w:r>
        <w:rPr>
          <w:i/>
          <w:iCs/>
          <w:color w:val="666666"/>
          <w:sz w:val="19"/>
          <w:szCs w:val="19"/>
        </w:rPr>
        <w:t xml:space="preserve">Excellent late-call question — often produces the most candid, memorable answers.</w:t>
      </w:r>
    </w:p>
    <w:p>
      <w:pPr>
        <w:spacing w:after="40" w:before="110"/>
      </w:pPr>
      <w:r>
        <w:rPr>
          <w:b/>
          <w:bCs/>
          <w:color w:val="1F4E5B"/>
          <w:sz w:val="21"/>
          <w:szCs w:val="21"/>
        </w:rPr>
        <w:t xml:space="preserve">Q6. </w:t>
      </w:r>
      <w:r>
        <w:rPr>
          <w:sz w:val="21"/>
          <w:szCs w:val="21"/>
        </w:rPr>
        <w:t xml:space="preserve">Is the endgame for a company like yours an IPO, acquisition by a big reference lab, or staying independent and building a menu? You don't have to name a preference — just describe the landscape.</w:t>
      </w:r>
    </w:p>
    <w:p>
      <w:pPr>
        <w:spacing w:after="120"/>
        <w:ind w:left="360"/>
      </w:pPr>
      <w:r>
        <w:rPr>
          <w:b/>
          <w:bCs/>
          <w:i/>
          <w:iCs/>
          <w:color w:val="666666"/>
          <w:sz w:val="19"/>
          <w:szCs w:val="19"/>
        </w:rPr>
        <w:t xml:space="preserve">Why ask it: </w:t>
      </w:r>
      <w:r>
        <w:rPr>
          <w:i/>
          <w:iCs/>
          <w:color w:val="666666"/>
          <w:sz w:val="19"/>
          <w:szCs w:val="19"/>
        </w:rPr>
        <w:t xml:space="preserve">A bit spicy but fair for an investor-heavy symposium; easy to deflect gracefully.</w:t>
      </w:r>
    </w:p>
    <w:p>
      <w:pPr>
        <w:pStyle w:val="Heading3"/>
        <w:spacing w:after="50" w:before="150"/>
      </w:pPr>
      <w:r>
        <w:rPr>
          <w:b/>
          <w:bCs/>
          <w:color w:val="1F4E5B"/>
          <w:sz w:val="22"/>
          <w:szCs w:val="22"/>
        </w:rPr>
        <w:t xml:space="preserve">Vision &amp; closers</w:t>
      </w:r>
    </w:p>
    <w:p>
      <w:pPr>
        <w:spacing w:after="40" w:before="110"/>
      </w:pPr>
      <w:r>
        <w:rPr>
          <w:b/>
          <w:bCs/>
          <w:color w:val="1F4E5B"/>
          <w:sz w:val="21"/>
          <w:szCs w:val="21"/>
        </w:rPr>
        <w:t xml:space="preserve">Q7. </w:t>
      </w:r>
      <w:r>
        <w:rPr>
          <w:sz w:val="21"/>
          <w:szCs w:val="21"/>
        </w:rPr>
        <w:t xml:space="preserve">If you could change one thing about how the US screens for cancer today — guidelines, reimbursement, or physician habit — what would it be?</w:t>
      </w:r>
    </w:p>
    <w:p>
      <w:pPr>
        <w:spacing w:after="120"/>
        <w:ind w:left="360"/>
      </w:pPr>
      <w:r>
        <w:rPr>
          <w:b/>
          <w:bCs/>
          <w:i/>
          <w:iCs/>
          <w:color w:val="666666"/>
          <w:sz w:val="19"/>
          <w:szCs w:val="19"/>
        </w:rPr>
        <w:t xml:space="preserve">Why ask it: </w:t>
      </w:r>
      <w:r>
        <w:rPr>
          <w:i/>
          <w:iCs/>
          <w:color w:val="666666"/>
          <w:sz w:val="19"/>
          <w:szCs w:val="19"/>
        </w:rPr>
        <w:t xml:space="preserve">Broad, opinionated, quotable; good for energy if the room is engaged.</w:t>
      </w:r>
    </w:p>
    <w:p>
      <w:pPr>
        <w:spacing w:after="40" w:before="110"/>
      </w:pPr>
      <w:r>
        <w:rPr>
          <w:b/>
          <w:bCs/>
          <w:color w:val="1F4E5B"/>
          <w:sz w:val="21"/>
          <w:szCs w:val="21"/>
        </w:rPr>
        <w:t xml:space="preserve">Q8. </w:t>
      </w:r>
      <w:r>
        <w:rPr>
          <w:sz w:val="21"/>
          <w:szCs w:val="21"/>
        </w:rPr>
        <w:t xml:space="preserve">What's a common misconception about blood-based cancer testing you'd like to correct for this audience?</w:t>
      </w:r>
    </w:p>
    <w:p>
      <w:pPr>
        <w:spacing w:after="120"/>
        <w:ind w:left="360"/>
      </w:pPr>
      <w:r>
        <w:rPr>
          <w:b/>
          <w:bCs/>
          <w:i/>
          <w:iCs/>
          <w:color w:val="666666"/>
          <w:sz w:val="19"/>
          <w:szCs w:val="19"/>
        </w:rPr>
        <w:t xml:space="preserve">Why ask it: </w:t>
      </w:r>
      <w:r>
        <w:rPr>
          <w:i/>
          <w:iCs/>
          <w:color w:val="666666"/>
          <w:sz w:val="19"/>
          <w:szCs w:val="19"/>
        </w:rPr>
        <w:t xml:space="preserve">Safe, flexible filler that reliably produces a useful answer.</w:t>
      </w:r>
    </w:p>
    <w:p>
      <w:pPr>
        <w:spacing w:after="40" w:before="110"/>
      </w:pPr>
      <w:r>
        <w:rPr>
          <w:b/>
          <w:bCs/>
          <w:color w:val="1F4E5B"/>
          <w:sz w:val="21"/>
          <w:szCs w:val="21"/>
        </w:rPr>
        <w:t xml:space="preserve">Q9. </w:t>
      </w:r>
      <w:r>
        <w:rPr>
          <w:sz w:val="21"/>
          <w:szCs w:val="21"/>
        </w:rPr>
        <w:t xml:space="preserve">Look out five years: if your technology works the way you believe it will, what does a routine check-up look like for the average person — and what has to happen to get there?</w:t>
      </w:r>
    </w:p>
    <w:p>
      <w:pPr>
        <w:spacing w:after="120"/>
        <w:ind w:left="360"/>
      </w:pPr>
      <w:r>
        <w:rPr>
          <w:b/>
          <w:bCs/>
          <w:i/>
          <w:iCs/>
          <w:color w:val="666666"/>
          <w:sz w:val="19"/>
          <w:szCs w:val="19"/>
        </w:rPr>
        <w:t xml:space="preserve">Why ask it: </w:t>
      </w:r>
      <w:r>
        <w:rPr>
          <w:i/>
          <w:iCs/>
          <w:color w:val="666666"/>
          <w:sz w:val="19"/>
          <w:szCs w:val="19"/>
        </w:rPr>
        <w:t xml:space="preserve">A clean, optimistic closer that gives any guest a memorable final word.</w:t>
      </w:r>
    </w:p>
    <w:p>
      <w:pPr>
        <w:spacing w:after="40" w:before="110"/>
      </w:pPr>
      <w:r>
        <w:rPr>
          <w:b/>
          <w:bCs/>
          <w:color w:val="1F4E5B"/>
          <w:sz w:val="21"/>
          <w:szCs w:val="21"/>
        </w:rPr>
        <w:t xml:space="preserve">Q10. </w:t>
      </w:r>
      <w:r>
        <w:rPr>
          <w:sz w:val="21"/>
          <w:szCs w:val="21"/>
        </w:rPr>
        <w:t xml:space="preserve">Rapid-fire to close: one metric you watch every morning; one thing that would make the next 12 months a success; and one test you wish existed that you're not building.</w:t>
      </w:r>
    </w:p>
    <w:p>
      <w:pPr>
        <w:spacing w:after="120"/>
        <w:ind w:left="360"/>
      </w:pPr>
      <w:r>
        <w:rPr>
          <w:b/>
          <w:bCs/>
          <w:i/>
          <w:iCs/>
          <w:color w:val="666666"/>
          <w:sz w:val="19"/>
          <w:szCs w:val="19"/>
        </w:rPr>
        <w:t xml:space="preserve">Why ask it: </w:t>
      </w:r>
      <w:r>
        <w:rPr>
          <w:i/>
          <w:iCs/>
          <w:color w:val="666666"/>
          <w:sz w:val="19"/>
          <w:szCs w:val="19"/>
        </w:rPr>
        <w:t xml:space="preserve">Fun, high-energy multi-part closer that yields soundbites; works for either call.</w:t>
      </w:r>
    </w:p>
    <w:p>
      <w:pPr>
        <w:pBdr>
          <w:bottom w:val="single" w:color="2E7D8A" w:sz="8" w:space="1"/>
        </w:pBdr>
        <w:spacing w:after="120"/>
      </w:pPr>
      <w:r>
        <w:t xml:space="preserve"/>
      </w:r>
    </w:p>
    <w:p>
      <w:pPr>
        <w:pStyle w:val="Heading3"/>
        <w:spacing w:after="50" w:before="150"/>
      </w:pPr>
      <w:r>
        <w:rPr>
          <w:b/>
          <w:bCs/>
          <w:color w:val="666666"/>
          <w:sz w:val="22"/>
          <w:szCs w:val="22"/>
        </w:rPr>
        <w:t xml:space="preserve">Metric verification note</w:t>
      </w:r>
    </w:p>
    <w:p>
      <w:pPr>
        <w:spacing w:after="100"/>
      </w:pPr>
      <w:r>
        <w:rPr>
          <w:color w:val="666666"/>
          <w:sz w:val="19"/>
          <w:szCs w:val="19"/>
        </w:rPr>
        <w:t xml:space="preserve">Every quantitative claim embedded in these questions was checked against a primary or regulatory source and cross-confirmed across at least two independent outlets:</w:t>
      </w:r>
    </w:p>
    <w:p>
      <w:pPr>
        <w:spacing w:after="100"/>
      </w:pPr>
      <w:r>
        <w:rPr>
          <w:color w:val="666666"/>
          <w:sz w:val="18"/>
          <w:szCs w:val="18"/>
        </w:rPr>
        <w:t xml:space="preserve">Mercy ovarian: 82.9% all-stage / 88.9% Stage I/II HGSC sensitivity, 97.7% specificity, AUC 0.984 vs 0.860 for CA-125 — Gynecologic Oncology (ScienceDirect) + Mercy publications page. 2024 dataset: 82% vs 63% sensitivity, 98% vs 96% specificity vs CA-125 — ASCO/Breakthrough Device release. J Mol Diagnostics verification: 97.0% spec / 97.0% HGSC sens / AUC 0.97.</w:t>
      </w:r>
    </w:p>
    <w:p>
      <w:pPr>
        <w:spacing w:after="100"/>
      </w:pPr>
      <w:r>
        <w:rPr>
          <w:color w:val="666666"/>
          <w:sz w:val="18"/>
          <w:szCs w:val="18"/>
        </w:rPr>
        <w:t xml:space="preserve">Mercy lung (NLST): 31% vs 8% early detection, 40% of LDCT-missed, 34.4% overall vs 39.5% for LDCT, specificity set to 90%, n=48 — Mercy release + CancerNetwork. Lung adenocarcinoma (ATS) percentages deliberately NOT embedded — abstract-stage, unverified.</w:t>
      </w:r>
    </w:p>
    <w:p>
      <w:pPr>
        <w:spacing w:after="100"/>
      </w:pPr>
      <w:r>
        <w:rPr>
          <w:color w:val="666666"/>
          <w:sz w:val="18"/>
          <w:szCs w:val="18"/>
        </w:rPr>
        <w:t xml:space="preserve">Cleveland IsoPSA: sensitivity 90.2%, specificity 45.5%, PPV 47.7%, NPV 89.3%, AUC 0.783 (888-patient, 14-site study); total PSA spec 20.2%, %free PSA spec 13.7% — CancerNetwork (with 95% CIs) + OncLive + MDedge/Medscape. Biopsy reduction: 46% (validation, ScienceDirect) and 55% net / 66% of patients changed (900-patient real-world utility, OncLive). Longitudinal: ~4% vs ~50% over 30 months — Urology, PubMed-indexed.</w:t>
      </w:r>
    </w:p>
    <w:p>
      <w:pPr>
        <w:spacing w:after="100"/>
      </w:pPr>
      <w:r>
        <w:rPr>
          <w:i/>
          <w:iCs/>
          <w:color w:val="666666"/>
          <w:sz w:val="18"/>
          <w:szCs w:val="18"/>
        </w:rPr>
        <w:t xml:space="preserve">Freshness: reflects public information as of this build (mid-2026). Re-check the morning of each call: (1) Evident's Early-Access-vs-full-launch status and Mercy's FDA submission; (2) any IsoPSA kit-rollout or new pipeline data from Cleveland since June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7jh97aenhhwaznjs7-go" Type="http://schemas.openxmlformats.org/officeDocument/2006/relationships/hyperlink" Target="https://www.evidenttest.com/our-science/" TargetMode="External"/><Relationship Id="rIdkzfziy-v9ea-fh_u3l0kb" Type="http://schemas.openxmlformats.org/officeDocument/2006/relationships/hyperlink" Target="https://mercybio.com/" TargetMode="External"/><Relationship Id="rIdpx2vsw3gxw6jgkldfk2oz" Type="http://schemas.openxmlformats.org/officeDocument/2006/relationships/hyperlink" Target="https://www.sciencedirect.com/science/article/pii/S1525157824002083" TargetMode="External"/><Relationship Id="rIdzwd21huoalwmqime2obyq" Type="http://schemas.openxmlformats.org/officeDocument/2006/relationships/hyperlink" Target="https://www.sciencedirect.com/science/article/pii/S0090825825010194" TargetMode="External"/><Relationship Id="rIdukawmyo7jaxiogjmv5c6l" Type="http://schemas.openxmlformats.org/officeDocument/2006/relationships/hyperlink" Target="https://mercybio.com/publications/" TargetMode="External"/><Relationship Id="rIdkhd3wwo_adpv0byqdgcp8" Type="http://schemas.openxmlformats.org/officeDocument/2006/relationships/hyperlink" Target="https://mercybio.com/2024/05/mercy-bioanalytics-receives-breakthrough-device-designation-for-ovarian-cancer-screening-in-asymptomatic-postmenopausal-women/" TargetMode="External"/><Relationship Id="rIdjxqepbqsxgy2yj7ju6kwv" Type="http://schemas.openxmlformats.org/officeDocument/2006/relationships/hyperlink" Target="https://www.sciencedirect.com/science/article/pii/S0090825825010194" TargetMode="External"/><Relationship Id="rIdmy1lgjaq3leezyem8yuxy" Type="http://schemas.openxmlformats.org/officeDocument/2006/relationships/hyperlink" Target="https://www.prnewswire.com/news-releases/mercy-bioanalytics-publishes-validation-study-in-gynecologic-oncology-demonstrating-unprecedented-performance-of-blood-test-for-early-detection-of-ovarian-cancer-302593806.html" TargetMode="External"/><Relationship Id="rIdmvnquhehtydzn7z9ypkjz" Type="http://schemas.openxmlformats.org/officeDocument/2006/relationships/hyperlink" Target="https://www.prnewswire.com/news-releases/mercy-halo-blood-test-shows-promise-in-early-lung-cancer-detection-new-study-shows-performance-similar-to-ldct-with-clinical-complementarity-302620431.html" TargetMode="External"/><Relationship Id="rIddmlka_zansxrae2qedsnt" Type="http://schemas.openxmlformats.org/officeDocument/2006/relationships/hyperlink" Target="https://www.cancernetwork.com/view/blood-based-screening-test-may-increase-preclinical-lung-cancer-detection" TargetMode="External"/><Relationship Id="rId55awpx_biopkyq9n5dnjm" Type="http://schemas.openxmlformats.org/officeDocument/2006/relationships/hyperlink" Target="https://www.prnewswire.com/news-releases/mercy-bioanalytics-to-present-data-at-asco-evaluating-clinical-performance-of-a-blood-based-lung-cancer-early-detection-assay-in-biospecimens-from-the-national-lung-screening-trial-302781989.html" TargetMode="External"/><Relationship Id="rIdei_pnftlqpwslezke9rqi" Type="http://schemas.openxmlformats.org/officeDocument/2006/relationships/hyperlink" Target="https://www.evidenttest.com/for-providers/" TargetMode="External"/><Relationship Id="rIdds8egdghg-8jfevajlv6g" Type="http://schemas.openxmlformats.org/officeDocument/2006/relationships/hyperlink" Target="https://www.360dx.com/proteomics-protein-research/prognomiq-mercy-bioanalytics-separately-advance-lung-cancer-screening" TargetMode="External"/><Relationship Id="rIdmdct2mwktpvfmfh0gxqcj" Type="http://schemas.openxmlformats.org/officeDocument/2006/relationships/hyperlink" Target="https://www.360dx.com/proteomics-protein-research/prognomiq-mercy-bioanalytics-separately-advance-lung-cancer-screening" TargetMode="External"/><Relationship Id="rIdge4bxsydthq4tmq_uwxrc" Type="http://schemas.openxmlformats.org/officeDocument/2006/relationships/hyperlink" Target="https://mercybio.com/newsroom/" TargetMode="External"/><Relationship Id="rIdrwp-j5i8agchhnisueuhs" Type="http://schemas.openxmlformats.org/officeDocument/2006/relationships/hyperlink" Target="https://www.evidenttest.com/" TargetMode="External"/><Relationship Id="rId-oduqjwjeuf8oqhewi0bj" Type="http://schemas.openxmlformats.org/officeDocument/2006/relationships/hyperlink" Target="https://www.sciencedirect.com/science/article/pii/S1525157824002083" TargetMode="External"/><Relationship Id="rIdwfbbaf3wx9rxnlobchi4h" Type="http://schemas.openxmlformats.org/officeDocument/2006/relationships/hyperlink" Target="https://mercybio.com/2024/05/mercy-bioanalytics-receives-breakthrough-device-designation-for-ovarian-cancer-screening-in-asymptomatic-postmenopausal-women/" TargetMode="External"/><Relationship Id="rIdu3pamlfxb-_o0pggokqxd" Type="http://schemas.openxmlformats.org/officeDocument/2006/relationships/hyperlink" Target="https://www.evidenttest.com/for-providers/" TargetMode="External"/><Relationship Id="rIdnpz-bumgpgxnalz1lmqih" Type="http://schemas.openxmlformats.org/officeDocument/2006/relationships/hyperlink" Target="https://mercybio.com/publications/" TargetMode="External"/><Relationship Id="rIddbhy77syuxk5kncmevhxv" Type="http://schemas.openxmlformats.org/officeDocument/2006/relationships/hyperlink" Target="https://mercybio.com/" TargetMode="External"/><Relationship Id="rIdugcevcixsui3mclkwh495" Type="http://schemas.openxmlformats.org/officeDocument/2006/relationships/hyperlink" Target="https://www.prnewswire.com/news-releases/mercy-bioanalytics-announces-59-million-series-b-financing-to-advance-early-cancer-detection-programs-302542694.html" TargetMode="External"/><Relationship Id="rIdda4uhbn8lypdprvxsxhn1" Type="http://schemas.openxmlformats.org/officeDocument/2006/relationships/hyperlink" Target="https://www.prnewswire.com/news-releases/mercy-bioanalytics-announces-59-million-series-b-financing-to-advance-early-cancer-detection-programs-302542694.html" TargetMode="External"/><Relationship Id="rIdkdvw91dxj6gqo6xd9dieo" Type="http://schemas.openxmlformats.org/officeDocument/2006/relationships/hyperlink" Target="https://www.clevelanddx.com/platform" TargetMode="External"/><Relationship Id="rId0sbn01awnj0x4w2qiuckv" Type="http://schemas.openxmlformats.org/officeDocument/2006/relationships/hyperlink" Target="https://www.targetedonc.com/view/fda-approves-novel-blood-based-assay-to-stratify-prostate-cancer-biopsy-risk" TargetMode="External"/><Relationship Id="rId0nhs0orlg-yyxnocg5gim" Type="http://schemas.openxmlformats.org/officeDocument/2006/relationships/hyperlink" Target="https://www.cancernetwork.com/view/fda-approves-novel-blood-based-prostate-cancer-test-for-elevated-psa-levels" TargetMode="External"/><Relationship Id="rIddct2bfzukyjqmoysihiet" Type="http://schemas.openxmlformats.org/officeDocument/2006/relationships/hyperlink" Target="https://www.cancernetwork.com/view/fda-approves-novel-blood-based-prostate-cancer-test-for-elevated-psa-levels" TargetMode="External"/><Relationship Id="rIdopxkffhmlsjjainzzttof" Type="http://schemas.openxmlformats.org/officeDocument/2006/relationships/hyperlink" Target="https://www.onclive.com/view/fda-approves-isopsa-blood-based-prostate-cancer-test-as-diagnostic-aid-for-high-risk-disease" TargetMode="External"/><Relationship Id="rId6asbf2sgn_gfuosahl3wc" Type="http://schemas.openxmlformats.org/officeDocument/2006/relationships/hyperlink" Target="https://www.sciencedirect.com/science/article/pii/S1078143922002204" TargetMode="External"/><Relationship Id="rIdr8v11kvd63v5gv5mzpm5a" Type="http://schemas.openxmlformats.org/officeDocument/2006/relationships/hyperlink" Target="https://www.onclive.com/view/fda-approves-isopsa-blood-based-prostate-cancer-test-as-diagnostic-aid-for-high-risk-disease" TargetMode="External"/><Relationship Id="rIdt-1o5hcmpcrftf-jgwdbk" Type="http://schemas.openxmlformats.org/officeDocument/2006/relationships/hyperlink" Target="https://pubmed.ncbi.nlm.nih.gov/39824364/" TargetMode="External"/><Relationship Id="rIdawaf4wnwuisztorpytjd2" Type="http://schemas.openxmlformats.org/officeDocument/2006/relationships/hyperlink" Target="https://www.businesswire.com/news/home/20250423808261/en/Cleveland-Diagnostics-Announces-Landmark-Longitudinal-Study-Published-in-Urology" TargetMode="External"/><Relationship Id="rIdlhnvr-dkeywzj5w_e7waq" Type="http://schemas.openxmlformats.org/officeDocument/2006/relationships/hyperlink" Target="https://www.cancernetwork.com/view/fda-approves-novel-blood-based-prostate-cancer-test-for-elevated-psa-levels" TargetMode="External"/><Relationship Id="rIdtdfgx9mxw0neg80vi4cds" Type="http://schemas.openxmlformats.org/officeDocument/2006/relationships/hyperlink" Target="https://www.businesswire.com/news/home/20251201324198/en/FDA-Approves-IsoPSA----Cleveland-Diagnostics-Novel-Blood-Based-Prostate-Cancer-Test" TargetMode="External"/><Relationship Id="rIdwt-bg_1mv30yhgkgiuegx" Type="http://schemas.openxmlformats.org/officeDocument/2006/relationships/hyperlink" Target="https://www.biospace.com/press-releases/cleveland-diagnostics-achieves-iso-13485-2016-certification-advancing-commercial-expansion-for-isopsa-ivd-assay" TargetMode="External"/><Relationship Id="rIdzyeyqo14awwypg82l1jps" Type="http://schemas.openxmlformats.org/officeDocument/2006/relationships/hyperlink" Target="https://www.mdedge.com/fedprac/article/273108/prostate-cancer/fda-oks-blood-based-test-help-diagnose-prostate-cancer" TargetMode="External"/><Relationship Id="rIdf8a65mzq8qhpja0isowxy" Type="http://schemas.openxmlformats.org/officeDocument/2006/relationships/hyperlink" Target="https://www.businesswire.com/news/home/20251201324198/en/FDA-Approves-IsoPSA----Cleveland-Diagnostics-Novel-Blood-Based-Prostate-Cancer-Test" TargetMode="External"/><Relationship Id="rIdsvb-jumhay-jjpyrqfcmu" Type="http://schemas.openxmlformats.org/officeDocument/2006/relationships/hyperlink" Target="https://isopsa.com/publications" TargetMode="External"/><Relationship Id="rIdxlzvmafwung-alehgyqdn" Type="http://schemas.openxmlformats.org/officeDocument/2006/relationships/hyperlink" Target="https://www.urologytimes.com/view/suo-2025-data-confirm-isopsa-accuracy-independent-of-mpmri-use" TargetMode="External"/><Relationship Id="rIdy4n8hqynxgsyrfedmf5kn" Type="http://schemas.openxmlformats.org/officeDocument/2006/relationships/hyperlink" Target="https://www.businesswire.com/news/home/20260122422449/en/Michael-Iskra-Appointed-CEO-of-Cleveland-Diagnostics-to-Drive-Strategic-Accelerated-Growth-Following-FDA-Approval-of-Its-IsoPSA-Assay" TargetMode="External"/><Relationship Id="rIdi-be4qa4f43utwn_1lxwb" Type="http://schemas.openxmlformats.org/officeDocument/2006/relationships/hyperlink" Target="https://www.fiercebiotech.com/sponsored/cleveland-diagnostics-and-jobsohio-join-forces-transform-early-cancer-detection" TargetMode="External"/><Relationship Id="rIdk0p0dqjeu-dgxtihndhmf" Type="http://schemas.openxmlformats.org/officeDocument/2006/relationships/hyperlink" Target="https://www.biospace.com/cleveland-diagnostics-completes-75m-financing-to-advance-its-early-detection-oncology-testing-platform" TargetMode="External"/><Relationship Id="rIda93xjge4itycwiw7u15zy" Type="http://schemas.openxmlformats.org/officeDocument/2006/relationships/hyperlink" Target="https://businessmodelcanvastemplate.com/blogs/brief-history/cleveland-diagnostics-brief-history" TargetMode="External"/><Relationship Id="rId4x2tnesbv_2daofedalyr" Type="http://schemas.openxmlformats.org/officeDocument/2006/relationships/hyperlink" Target="https://www.urologytimes.com/view/fda-approves-isopsa-test-as-aid-in-the-diagnosis-of-high-grade-prostate-cancer" TargetMode="External"/><Relationship Id="rIde3qzztyy59z56_3g0n4ac" Type="http://schemas.openxmlformats.org/officeDocument/2006/relationships/hyperlink" Target="https://www.biospace.com/cleveland-diagnostics-completes-75m-financing-to-advance-its-early-detection-oncology-testing-platform" TargetMode="External"/><Relationship Id="rId3vl17kk_zbvbvjdkcy7kr" Type="http://schemas.openxmlformats.org/officeDocument/2006/relationships/hyperlink" Target="https://www.businesswire.com/news/home/20240412750866/en/Cleveland-Diagnostics-Signs-Distribution-Agreement-with-Dow-BioMedica-to-Bring-Prostate-Cancer-Test-IsoPSA-to-Korea" TargetMode="External"/><Relationship Id="rIdvlvslfkqlawm77o6hnzrr" Type="http://schemas.openxmlformats.org/officeDocument/2006/relationships/hyperlink" Target="https://www.managedhealthcareexecutive.com/view/new-test-may-solve-the-specificity-and-false-positive-problems-of-the-psa-test-for-prostate-cancer-" TargetMode="External"/><Relationship Id="rId5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2026-07-06T20:59:47.756Z</dcterms:created>
  <dcterms:modified xsi:type="dcterms:W3CDTF">2026-07-06T20:59:47.768Z</dcterms:modified>
</cp:coreProperties>
</file>

<file path=docProps/custom.xml><?xml version="1.0" encoding="utf-8"?>
<Properties xmlns="http://schemas.openxmlformats.org/officeDocument/2006/custom-properties" xmlns:vt="http://schemas.openxmlformats.org/officeDocument/2006/docPropsVTypes"/>
</file>