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A8C"/>
          <w:sz w:val="34"/>
          <w:szCs w:val="34"/>
        </w:rPr>
        <w:t xml:space="preserve">Fireside Chat Prep Pack</w:t>
      </w:r>
    </w:p>
    <w:p>
      <w:pPr>
        <w:spacing w:after="40" w:before="0"/>
        <w:jc w:val="center"/>
      </w:pPr>
      <w:r>
        <w:rPr>
          <w:b/>
          <w:bCs/>
          <w:sz w:val="24"/>
          <w:szCs w:val="24"/>
        </w:rPr>
        <w:t xml:space="preserve">Inflammatix</w:t>
      </w:r>
    </w:p>
    <w:p>
      <w:pPr>
        <w:spacing w:after="160" w:before="0"/>
        <w:jc w:val="center"/>
      </w:pPr>
      <w:r>
        <w:rPr>
          <w:i/>
          <w:iCs/>
          <w:color w:val="666666"/>
          <w:sz w:val="18"/>
          <w:szCs w:val="18"/>
        </w:rPr>
        <w:t xml:space="preserve">30-minute fireside format · Prepared July 2026</w:t>
      </w:r>
    </w:p>
    <w:p>
      <w:pPr>
        <w:spacing w:after="200" w:before="0"/>
      </w:pPr>
      <w:r>
        <w:rPr>
          <w:i/>
          <w:iCs/>
          <w:color w:val="444444"/>
          <w:sz w:val="18"/>
          <w:szCs w:val="18"/>
        </w:rPr>
        <w:t xml:space="preserve">Private, early-commercial-stage molecular diagnostics company. The near-term face of the business is TriVerity for acute infection &amp; sepsis, but the deeper story is a host-response / acute-inflammation platform: rather than detecting a pathogen, it reads the patient's own immune response (host mRNA + machine learning) to answer what ED and ICU clinicians actually need — is there an infection (bacterial vs. viral), how sick will this patient get, and (in the pipeline) which immune state are they in and which therapy will help. FDA-cleared Jan 2025; now in early hospital rollout. All public figures below are cited with live links; figures shared privately in the prep call are tagged as such and are not yet public — verify before quoting on the record.</w:t>
      </w:r>
    </w:p>
    <w:p>
      <w:pPr>
        <w:pStyle w:val="Heading1"/>
        <w:spacing w:after="120" w:before="240"/>
      </w:pPr>
      <w:r>
        <w:rPr>
          <w:b/>
          <w:bCs/>
          <w:color w:val="2E5A8C"/>
          <w:sz w:val="30"/>
          <w:szCs w:val="30"/>
        </w:rPr>
        <w:t xml:space="preserve">Cheat Sheet — Inflammatix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Host-response molecular diagnostics — an </w:t>
            </w:r>
            <w:r>
              <w:rPr>
                <w:b/>
                <w:bCs/>
                <w:sz w:val="20"/>
                <w:szCs w:val="20"/>
              </w:rPr>
              <w:t xml:space="preserve">acute-inflammation / immune-response platform</w:t>
            </w:r>
            <w:r>
              <w:rPr>
                <w:sz w:val="20"/>
                <w:szCs w:val="20"/>
              </w:rPr>
              <w:t xml:space="preserve"> with sepsis as the beachhead. Rather than detecting a pathogen, TriVerity measures the expression of </w:t>
            </w:r>
            <w:r>
              <w:rPr>
                <w:b/>
                <w:bCs/>
                <w:sz w:val="20"/>
                <w:szCs w:val="20"/>
              </w:rPr>
              <w:t xml:space="preserve">29 host mRNAs</w:t>
            </w:r>
            <w:r>
              <w:rPr>
                <w:sz w:val="20"/>
                <w:szCs w:val="20"/>
              </w:rPr>
              <w:t xml:space="preserve"> and applies machine-learning algorithms to output three scores — bacterial, viral, and illness severity — in ~30 min on the benchtop Myrna™ instrument. The same transcriptomic approach extends to immune endotyping and therapy-response prediction (see Pipeline).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color w:val="2E5A8C"/>
                <w:sz w:val="16"/>
                <w:szCs w:val="16"/>
              </w:rPr>
              <w:t xml:space="preserve">[</w:t>
            </w:r>
            <w:hyperlink w:history="1" r:id="rId-lshsdrmmilokdelgo2em">
              <w:r>
                <w:rPr>
                  <w:rStyle w:val="Hyperlink"/>
                  <w:color w:val="2E5A8C"/>
                  <w:sz w:val="16"/>
                  <w:szCs w:val="16"/>
                  <w:u w:val="single"/>
                </w:rPr>
                <w:t xml:space="preserve">FDA PR</w:t>
              </w:r>
            </w:hyperlink>
            <w:r>
              <w:rPr>
                <w:color w:val="2E5A8C"/>
                <w:sz w:val="16"/>
                <w:szCs w:val="16"/>
              </w:rPr>
              <w:t xml:space="preserve">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color w:val="2E5A8C"/>
                <w:sz w:val="16"/>
                <w:szCs w:val="16"/>
              </w:rPr>
              <w:t xml:space="preserve">[</w:t>
            </w:r>
            <w:hyperlink w:history="1" r:id="rIdmh-xyhfwl_p_qcn7bbgyv">
              <w:r>
                <w:rPr>
                  <w:rStyle w:val="Hyperlink"/>
                  <w:color w:val="2E5A8C"/>
                  <w:sz w:val="16"/>
                  <w:szCs w:val="16"/>
                  <w:u w:val="single"/>
                </w:rPr>
                <w:t xml:space="preserve">Nature Med PR</w:t>
              </w:r>
            </w:hyperlink>
            <w:r>
              <w:rPr>
                <w:color w:val="2E5A8C"/>
                <w:sz w:val="16"/>
                <w:szCs w:val="16"/>
              </w:rPr>
              <w:t xml:space="preserve">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color w:val="2E5A8C"/>
                <w:sz w:val="16"/>
                <w:szCs w:val="16"/>
              </w:rPr>
              <w:t xml:space="preserve">[</w:t>
            </w:r>
            <w:hyperlink w:history="1" r:id="rIdldggtfchvo0zeadaq-ehh">
              <w:r>
                <w:rPr>
                  <w:rStyle w:val="Hyperlink"/>
                  <w:color w:val="2E5A8C"/>
                  <w:sz w:val="16"/>
                  <w:szCs w:val="16"/>
                  <w:u w:val="single"/>
                </w:rPr>
                <w:t xml:space="preserve">Pipeline</w:t>
              </w:r>
            </w:hyperlink>
            <w:r>
              <w:rPr>
                <w:color w:val="2E5A8C"/>
                <w:sz w:val="16"/>
                <w:szCs w:val="16"/>
              </w:rPr>
              <w:t xml:space="preserve">]</w:t>
            </w:r>
          </w:p>
        </w:tc>
      </w:tr>
      <w:tr>
        <w:tc>
          <w:tcPr>
            <w:tcW w:type="dxa" w:w="1900"/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Founded / HQ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Founded 2016 by Tim Sweeney, Purvesh Khatri &amp; Jonathan Romanowsky; spun out of Stanford. HQ Sunnyvale, CA.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color w:val="2E5A8C"/>
                <w:sz w:val="16"/>
                <w:szCs w:val="16"/>
              </w:rPr>
              <w:t xml:space="preserve">[</w:t>
            </w:r>
            <w:hyperlink w:history="1" r:id="rIdadgkuratlo23ys4oedqgo">
              <w:r>
                <w:rPr>
                  <w:rStyle w:val="Hyperlink"/>
                  <w:color w:val="2E5A8C"/>
                  <w:sz w:val="16"/>
                  <w:szCs w:val="16"/>
                  <w:u w:val="single"/>
                </w:rPr>
                <w:t xml:space="preserve">Tracxn</w:t>
              </w:r>
            </w:hyperlink>
            <w:r>
              <w:rPr>
                <w:color w:val="2E5A8C"/>
                <w:sz w:val="16"/>
                <w:szCs w:val="16"/>
              </w:rPr>
              <w:t xml:space="preserve">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color w:val="2E5A8C"/>
                <w:sz w:val="16"/>
                <w:szCs w:val="16"/>
              </w:rPr>
              <w:t xml:space="preserve">[</w:t>
            </w:r>
            <w:hyperlink w:history="1" r:id="rId_0w_2-h-dw67qrvshlaac">
              <w:r>
                <w:rPr>
                  <w:rStyle w:val="Hyperlink"/>
                  <w:color w:val="2E5A8C"/>
                  <w:sz w:val="16"/>
                  <w:szCs w:val="16"/>
                  <w:u w:val="single"/>
                </w:rPr>
                <w:t xml:space="preserve">FDA PR</w:t>
              </w:r>
            </w:hyperlink>
            <w:r>
              <w:rPr>
                <w:color w:val="2E5A8C"/>
                <w:sz w:val="16"/>
                <w:szCs w:val="16"/>
              </w:rPr>
              <w:t xml:space="preserve">]</w:t>
            </w:r>
          </w:p>
        </w:tc>
      </w:tr>
      <w:tr>
        <w:tc>
          <w:tcPr>
            <w:tcW w:type="dxa" w:w="1900"/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~75 employees (Feb 2026).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color w:val="2E5A8C"/>
                <w:sz w:val="16"/>
                <w:szCs w:val="16"/>
              </w:rPr>
              <w:t xml:space="preserve">[</w:t>
            </w:r>
            <w:hyperlink w:history="1" r:id="rIdwkfyz7r2645pglmb3iree">
              <w:r>
                <w:rPr>
                  <w:rStyle w:val="Hyperlink"/>
                  <w:color w:val="2E5A8C"/>
                  <w:sz w:val="16"/>
                  <w:szCs w:val="16"/>
                  <w:u w:val="single"/>
                </w:rPr>
                <w:t xml:space="preserve">Tracxn</w:t>
              </w:r>
            </w:hyperlink>
            <w:r>
              <w:rPr>
                <w:color w:val="2E5A8C"/>
                <w:sz w:val="16"/>
                <w:szCs w:val="16"/>
              </w:rPr>
              <w:t xml:space="preserve">]</w:t>
            </w:r>
          </w:p>
        </w:tc>
      </w:tr>
      <w:tr>
        <w:tc>
          <w:tcPr>
            <w:tcW w:type="dxa" w:w="1900"/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Funding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Private, Series E. Last round: </w:t>
            </w:r>
            <w:r>
              <w:rPr>
                <w:b/>
                <w:bCs/>
                <w:sz w:val="20"/>
                <w:szCs w:val="20"/>
              </w:rPr>
              <w:t xml:space="preserve">$57M Series E (Sep 2024)</w:t>
            </w:r>
            <w:r>
              <w:rPr>
                <w:sz w:val="20"/>
                <w:szCs w:val="20"/>
              </w:rPr>
              <w:t xml:space="preserve">, led by Khosla Ventures &amp; Think.Health. Total private capital cited by the company as </w:t>
            </w:r>
            <w:r>
              <w:rPr>
                <w:b/>
                <w:bCs/>
                <w:sz w:val="20"/>
                <w:szCs w:val="20"/>
              </w:rPr>
              <w:t xml:space="preserve">&gt;$200M</w:t>
            </w:r>
            <w:r>
              <w:rPr>
                <w:sz w:val="20"/>
                <w:szCs w:val="20"/>
              </w:rPr>
              <w:t xml:space="preserve"> plus &gt;$50M in government grants/contracts (BARDA). (Trackers vary: Tracxn $191M, PitchBook $213M — see note.) Investors: Khosla, Northpond, Think.Health, D1 Capital, Iberis, Vesalius BioCapital, OSF Healthcare, RAW Ventures, Stanford-StartX.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color w:val="2E5A8C"/>
                <w:sz w:val="16"/>
                <w:szCs w:val="16"/>
              </w:rPr>
              <w:t xml:space="preserve">[</w:t>
            </w:r>
            <w:hyperlink w:history="1" r:id="rId-46abgx-cmmj_yu9x0q1w">
              <w:r>
                <w:rPr>
                  <w:rStyle w:val="Hyperlink"/>
                  <w:color w:val="2E5A8C"/>
                  <w:sz w:val="16"/>
                  <w:szCs w:val="16"/>
                  <w:u w:val="single"/>
                </w:rPr>
                <w:t xml:space="preserve">Series E PR</w:t>
              </w:r>
            </w:hyperlink>
            <w:r>
              <w:rPr>
                <w:color w:val="2E5A8C"/>
                <w:sz w:val="16"/>
                <w:szCs w:val="16"/>
              </w:rPr>
              <w:t xml:space="preserve">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color w:val="2E5A8C"/>
                <w:sz w:val="16"/>
                <w:szCs w:val="16"/>
              </w:rPr>
              <w:t xml:space="preserve">[</w:t>
            </w:r>
            <w:hyperlink w:history="1" r:id="rIdbhyyk6nvexa5jno7es341">
              <w:r>
                <w:rPr>
                  <w:rStyle w:val="Hyperlink"/>
                  <w:color w:val="2E5A8C"/>
                  <w:sz w:val="16"/>
                  <w:szCs w:val="16"/>
                  <w:u w:val="single"/>
                </w:rPr>
                <w:t xml:space="preserve">MedTech Dive</w:t>
              </w:r>
            </w:hyperlink>
            <w:r>
              <w:rPr>
                <w:color w:val="2E5A8C"/>
                <w:sz w:val="16"/>
                <w:szCs w:val="16"/>
              </w:rPr>
              <w:t xml:space="preserve">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color w:val="2E5A8C"/>
                <w:sz w:val="16"/>
                <w:szCs w:val="16"/>
              </w:rPr>
              <w:t xml:space="preserve">[</w:t>
            </w:r>
            <w:hyperlink w:history="1" r:id="rIdmgkr9j_u7a_ayqrrqvz6s">
              <w:r>
                <w:rPr>
                  <w:rStyle w:val="Hyperlink"/>
                  <w:color w:val="2E5A8C"/>
                  <w:sz w:val="16"/>
                  <w:szCs w:val="16"/>
                  <w:u w:val="single"/>
                </w:rPr>
                <w:t xml:space="preserve">Tracxn</w:t>
              </w:r>
            </w:hyperlink>
            <w:r>
              <w:rPr>
                <w:color w:val="2E5A8C"/>
                <w:sz w:val="16"/>
                <w:szCs w:val="16"/>
              </w:rPr>
              <w:t xml:space="preserve">]</w:t>
            </w:r>
          </w:p>
        </w:tc>
      </w:tr>
      <w:tr>
        <w:tc>
          <w:tcPr>
            <w:tcW w:type="dxa" w:w="1900"/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Early commercial. FDA-cleared Jan 2025; flagship product live; now in early hospital adoption + a military evaluation contract. Company states (prep call, not yet public) that it expects to grow ~5x over the next year at roughly 35% compound monthly growth — treat as management projection, not established fact.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color w:val="2E5A8C"/>
                <w:sz w:val="16"/>
                <w:szCs w:val="16"/>
              </w:rPr>
              <w:t xml:space="preserve">[</w:t>
            </w:r>
            <w:hyperlink w:history="1" r:id="rIdlual_-bnhpor2xxf1rfgl">
              <w:r>
                <w:rPr>
                  <w:rStyle w:val="Hyperlink"/>
                  <w:color w:val="2E5A8C"/>
                  <w:sz w:val="16"/>
                  <w:szCs w:val="16"/>
                  <w:u w:val="single"/>
                </w:rPr>
                <w:t xml:space="preserve">COO PR</w:t>
              </w:r>
            </w:hyperlink>
            <w:r>
              <w:rPr>
                <w:color w:val="2E5A8C"/>
                <w:sz w:val="16"/>
                <w:szCs w:val="16"/>
              </w:rPr>
              <w:t xml:space="preserve">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color w:val="2E5A8C"/>
                <w:sz w:val="16"/>
                <w:szCs w:val="16"/>
              </w:rPr>
              <w:t xml:space="preserve">[</w:t>
            </w:r>
            <w:hyperlink w:history="1" r:id="rIdbszdyryohsujjozogefap">
              <w:r>
                <w:rPr>
                  <w:rStyle w:val="Hyperlink"/>
                  <w:color w:val="2E5A8C"/>
                  <w:sz w:val="16"/>
                  <w:szCs w:val="16"/>
                  <w:u w:val="single"/>
                </w:rPr>
                <w:t xml:space="preserve">Military PR</w:t>
              </w:r>
            </w:hyperlink>
            <w:r>
              <w:rPr>
                <w:color w:val="2E5A8C"/>
                <w:sz w:val="16"/>
                <w:szCs w:val="16"/>
              </w:rPr>
              <w:t xml:space="preserve">]</w:t>
            </w:r>
          </w:p>
        </w:tc>
      </w:tr>
      <w:tr>
        <w:tc>
          <w:tcPr>
            <w:tcW w:type="dxa" w:w="1900"/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Leadership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CEO &amp; co-founder </w:t>
            </w:r>
            <w:r>
              <w:rPr>
                <w:b/>
                <w:bCs/>
                <w:sz w:val="20"/>
                <w:szCs w:val="20"/>
              </w:rPr>
              <w:t xml:space="preserve">Tim Sweeney, MD, PhD</w:t>
            </w:r>
            <w:r>
              <w:rPr>
                <w:sz w:val="20"/>
                <w:szCs w:val="20"/>
              </w:rPr>
              <w:t xml:space="preserve">; Chief Scientist &amp; co-founder </w:t>
            </w:r>
            <w:r>
              <w:rPr>
                <w:b/>
                <w:bCs/>
                <w:sz w:val="20"/>
                <w:szCs w:val="20"/>
              </w:rPr>
              <w:t xml:space="preserve">Purvesh Khatri, PhD</w:t>
            </w:r>
            <w:r>
              <w:rPr>
                <w:sz w:val="20"/>
                <w:szCs w:val="20"/>
              </w:rPr>
              <w:t xml:space="preserve"> (Prof. of Medicine, Stanford); co-founder Jonathan Romanowsky; COO </w:t>
            </w:r>
            <w:r>
              <w:rPr>
                <w:b/>
                <w:bCs/>
                <w:sz w:val="20"/>
                <w:szCs w:val="20"/>
              </w:rPr>
              <w:t xml:space="preserve">Martín Vazquez</w:t>
            </w:r>
            <w:r>
              <w:rPr>
                <w:sz w:val="20"/>
                <w:szCs w:val="20"/>
              </w:rPr>
              <w:t xml:space="preserve"> (Jun 2025, hired to scale manufacturing/commercial). Founders still run the company — additive C-suite, no top-level change.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color w:val="2E5A8C"/>
                <w:sz w:val="16"/>
                <w:szCs w:val="16"/>
              </w:rPr>
              <w:t xml:space="preserve">[</w:t>
            </w:r>
            <w:hyperlink w:history="1" r:id="rIdflcuzxyeo2lk0ycrtwib3">
              <w:r>
                <w:rPr>
                  <w:rStyle w:val="Hyperlink"/>
                  <w:color w:val="2E5A8C"/>
                  <w:sz w:val="16"/>
                  <w:szCs w:val="16"/>
                  <w:u w:val="single"/>
                </w:rPr>
                <w:t xml:space="preserve">COO PR</w:t>
              </w:r>
            </w:hyperlink>
            <w:r>
              <w:rPr>
                <w:color w:val="2E5A8C"/>
                <w:sz w:val="16"/>
                <w:szCs w:val="16"/>
              </w:rPr>
              <w:t xml:space="preserve">]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333333"/>
          <w:sz w:val="24"/>
          <w:szCs w:val="24"/>
        </w:rPr>
        <w:t xml:space="preserve">The product — TriVerity™ Test System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What it is. </w:t>
      </w:r>
      <w:r>
        <w:rPr>
          <w:sz w:val="20"/>
          <w:szCs w:val="20"/>
        </w:rPr>
        <w:t xml:space="preserve">A rapid blood test measuring the expression levels of 29 genes tied to the host immune response, run on the disposable TriVerity cartridge + Myrna™ benchtop instrument. Machine-learning algorithms convert the readout into three scores.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9cp9oekn6sw16uzmxcm2h">
        <w:r>
          <w:rPr>
            <w:rStyle w:val="Hyperlink"/>
            <w:color w:val="2E5A8C"/>
            <w:sz w:val="16"/>
            <w:szCs w:val="16"/>
            <w:u w:val="single"/>
          </w:rPr>
          <w:t xml:space="preserve">FDA PR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ftav29-qoikurhlxo_jjv">
        <w:r>
          <w:rPr>
            <w:rStyle w:val="Hyperlink"/>
            <w:color w:val="2E5A8C"/>
            <w:sz w:val="16"/>
            <w:szCs w:val="16"/>
            <w:u w:val="single"/>
          </w:rPr>
          <w:t xml:space="preserve">Medical Economics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The three outputs. </w:t>
      </w:r>
      <w:r>
        <w:rPr>
          <w:sz w:val="20"/>
          <w:szCs w:val="20"/>
        </w:rPr>
        <w:t xml:space="preserve">(1) likelihood of bacterial infection, (2) likelihood of viral infection, (3) illness severity — the likelihood of needing ICU-level care within 7 days. Each score is reported in five interpretation bands (Very low → Very high).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80wfrz3oe3h2ohmaibuey">
        <w:r>
          <w:rPr>
            <w:rStyle w:val="Hyperlink"/>
            <w:color w:val="2E5A8C"/>
            <w:sz w:val="16"/>
            <w:szCs w:val="16"/>
            <w:u w:val="single"/>
          </w:rPr>
          <w:t xml:space="preserve">Hantavirus PR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ahxhnnivi4ghqxew-_09b">
        <w:r>
          <w:rPr>
            <w:rStyle w:val="Hyperlink"/>
            <w:color w:val="2E5A8C"/>
            <w:sz w:val="16"/>
            <w:szCs w:val="16"/>
            <w:u w:val="single"/>
          </w:rPr>
          <w:t xml:space="preserve">ACEP24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Method. </w:t>
      </w:r>
      <w:r>
        <w:rPr>
          <w:sz w:val="20"/>
          <w:szCs w:val="20"/>
        </w:rPr>
        <w:t xml:space="preserve">Blood-based reverse-transcription loop-mediated isothermal amplification (RT-LAMP) — a PCR cousin — quantifying host mRNA. It does NOT detect pathogens or their genetic material; it reads the immune response, which is the core differentiator.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jxwboncz04gwemrx9i32g">
        <w:r>
          <w:rPr>
            <w:rStyle w:val="Hyperlink"/>
            <w:color w:val="2E5A8C"/>
            <w:sz w:val="16"/>
            <w:szCs w:val="16"/>
            <w:u w:val="single"/>
          </w:rPr>
          <w:t xml:space="preserve">GenomeWeb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mklopsvefooagdzb3jb0y">
        <w:r>
          <w:rPr>
            <w:rStyle w:val="Hyperlink"/>
            <w:color w:val="2E5A8C"/>
            <w:sz w:val="16"/>
            <w:szCs w:val="16"/>
            <w:u w:val="single"/>
          </w:rPr>
          <w:t xml:space="preserve">Hantavirus PR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Intended use. </w:t>
      </w:r>
      <w:r>
        <w:rPr>
          <w:sz w:val="20"/>
          <w:szCs w:val="20"/>
        </w:rPr>
        <w:t xml:space="preserve">Adult ED patients with suspected acute infection or sepsis and at least one abnormal vital sign. Guides antimicrobial selection, workup intensity, and admit/discharge disposition. ~30-min turnaround.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bs240cpcvc2gmh24wdijd">
        <w:r>
          <w:rPr>
            <w:rStyle w:val="Hyperlink"/>
            <w:color w:val="2E5A8C"/>
            <w:sz w:val="16"/>
            <w:szCs w:val="16"/>
            <w:u w:val="single"/>
          </w:rPr>
          <w:t xml:space="preserve">Hantavirus PR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k1-fjonkk4h8n5ch-jy5j">
        <w:r>
          <w:rPr>
            <w:rStyle w:val="Hyperlink"/>
            <w:color w:val="2E5A8C"/>
            <w:sz w:val="16"/>
            <w:szCs w:val="16"/>
            <w:u w:val="single"/>
          </w:rPr>
          <w:t xml:space="preserve">FDA PR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Positioning. </w:t>
      </w:r>
      <w:r>
        <w:rPr>
          <w:sz w:val="20"/>
          <w:szCs w:val="20"/>
        </w:rPr>
        <w:t xml:space="preserve">Marketed as the first and only molecular blood test that both identifies bacterial vs. viral infection AND assesses need for critical care. Sweeney's analogy: what troponin did for 'chest pain,' TriVerity aims to do for 'suspected infection.'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95ek6gxn4ctamh8eh8zz2">
        <w:r>
          <w:rPr>
            <w:rStyle w:val="Hyperlink"/>
            <w:color w:val="2E5A8C"/>
            <w:sz w:val="16"/>
            <w:szCs w:val="16"/>
            <w:u w:val="single"/>
          </w:rPr>
          <w:t xml:space="preserve">FDA PR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Impact &amp; market (company-stated, prep call — not yet public). </w:t>
      </w:r>
      <w:r>
        <w:rPr>
          <w:sz w:val="20"/>
          <w:szCs w:val="20"/>
        </w:rPr>
        <w:t xml:space="preserve">Management frames the test as changing management often enough to save roughly one life for every ten patients tested, and sizes the acute-care/ICU opportunity as larger than the entire oncology market. Both are compelling framings but are management claims, not published figures — put them to the guest as questions rather than asserting them.</w:t>
      </w:r>
    </w:p>
    <w:p>
      <w:pPr>
        <w:pStyle w:val="Heading2"/>
        <w:spacing w:after="100" w:before="200"/>
      </w:pPr>
      <w:r>
        <w:rPr>
          <w:b/>
          <w:bCs/>
          <w:color w:val="333333"/>
          <w:sz w:val="24"/>
          <w:szCs w:val="24"/>
        </w:rPr>
        <w:t xml:space="preserve">Clinical evidence &amp; publications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SEPSIS-SHIELD (pivotal; Nature Medicine, Sep 30 2025). </w:t>
      </w:r>
      <w:r>
        <w:rPr>
          <w:sz w:val="20"/>
          <w:szCs w:val="20"/>
        </w:rPr>
        <w:t xml:space="preserve">Three simultaneous Nature Medicine papers. The pivotal manuscript reports the FDA-supporting trial: 1,222 patients across 22 US &amp; European ED sites (NCT04094818). Reported high sensitivity/specificity across all three scores and better sensitivity or specificity than established biomarkers (e.g., procalcitonin, lactate); accuracy held regardless of immune status or race. An independent (Univ. of Kentucky) validation reports the severity score's AUROC at 0.78 for predicting illness severity, reclassifying risk vs. qSOFA alone.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vncodk_pqzezdcgojsjbv">
        <w:r>
          <w:rPr>
            <w:rStyle w:val="Hyperlink"/>
            <w:color w:val="2E5A8C"/>
            <w:sz w:val="16"/>
            <w:szCs w:val="16"/>
            <w:u w:val="single"/>
          </w:rPr>
          <w:t xml:space="preserve">Nature Med PR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jyek1eknhvxaffw1hmhee">
        <w:r>
          <w:rPr>
            <w:rStyle w:val="Hyperlink"/>
            <w:color w:val="2E5A8C"/>
            <w:sz w:val="16"/>
            <w:szCs w:val="16"/>
            <w:u w:val="single"/>
          </w:rPr>
          <w:t xml:space="preserve">360Dx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8wfqcpun8x3qezsnyr-sf">
        <w:r>
          <w:rPr>
            <w:rStyle w:val="Hyperlink"/>
            <w:color w:val="2E5A8C"/>
            <w:sz w:val="16"/>
            <w:szCs w:val="16"/>
            <w:u w:val="single"/>
          </w:rPr>
          <w:t xml:space="preserve">Univ. Kentucky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Analytical validation (J. Clinical Microbiology, Sep 2025). </w:t>
      </w:r>
      <w:r>
        <w:rPr>
          <w:sz w:val="20"/>
          <w:szCs w:val="20"/>
        </w:rPr>
        <w:t xml:space="preserve">High precision (score SD &lt;5.5 across bands), strong lot-to-lot reproducibility (Fleiss kappa 0.915), cartridge stability 9–12 months, no interference from 17 common blood substances. Method-comparison correlation 0.91–0.93 vs. prior clinical-trial instruments.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enmvzktf0bc_m6zousq93">
        <w:r>
          <w:rPr>
            <w:rStyle w:val="Hyperlink"/>
            <w:color w:val="2E5A8C"/>
            <w:sz w:val="16"/>
            <w:szCs w:val="16"/>
            <w:u w:val="single"/>
          </w:rPr>
          <w:t xml:space="preserve">JCM (Inflammatix)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ACEP24 (immune-status subgroup). </w:t>
      </w:r>
      <w:r>
        <w:rPr>
          <w:sz w:val="20"/>
          <w:szCs w:val="20"/>
        </w:rPr>
        <w:t xml:space="preserve">Interim SEPSIS-SHIELD analysis in immunocompromised (IC) patients: for the 'Very low' bands, bacterial/viral/severity sensitivity was 96% / 100% / 100% — supporting use irrespective of immune status. (Small IC subgroup, n=88 with infection status.)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wnsztz3iy-wthixwtmt5q">
        <w:r>
          <w:rPr>
            <w:rStyle w:val="Hyperlink"/>
            <w:color w:val="2E5A8C"/>
            <w:sz w:val="16"/>
            <w:szCs w:val="16"/>
            <w:u w:val="single"/>
          </w:rPr>
          <w:t xml:space="preserve">ACEP24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Heading2"/>
        <w:spacing w:after="100" w:before="200"/>
      </w:pPr>
      <w:r>
        <w:rPr>
          <w:b/>
          <w:bCs/>
          <w:color w:val="333333"/>
          <w:sz w:val="24"/>
          <w:szCs w:val="24"/>
        </w:rPr>
        <w:t xml:space="preserve">Pipeline &amp; platform expansion — beyond sepsis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Immune endotypes (HI-DEF / HostDx Endotypes). </w:t>
      </w:r>
      <w:r>
        <w:rPr>
          <w:sz w:val="20"/>
          <w:szCs w:val="20"/>
        </w:rPr>
        <w:t xml:space="preserve">The second Nature Medicine paper introduced HI-DEF (Human Immune Dysregulation Evaluation Framework) from the SUBSPACE consortium — 7,000+ samples across 37 cohorts — classifying patients into balanced, myeloid-, lymphoid-, or system-wide dysregulated states. Myeloid/lymphoid-dysregulated patients were 5–7× more likely to die or need ICU care. Crucially, the framework spans critical illness broadly (sepsis, ARDS, trauma, burns) — the concrete basis for the "acute-inflammation platform, not just sepsis" thesis. A pipeline product, HostDx Endotypes (33-mRNA signature), is aimed at monitoring therapy response.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9_jrw-z7ka2gf1mrz7bob">
        <w:r>
          <w:rPr>
            <w:rStyle w:val="Hyperlink"/>
            <w:color w:val="2E5A8C"/>
            <w:sz w:val="16"/>
            <w:szCs w:val="16"/>
            <w:u w:val="single"/>
          </w:rPr>
          <w:t xml:space="preserve">HI-DEF (Nature Med)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fz6ohu1orub3vuzxznoxt">
        <w:r>
          <w:rPr>
            <w:rStyle w:val="Hyperlink"/>
            <w:color w:val="2E5A8C"/>
            <w:sz w:val="16"/>
            <w:szCs w:val="16"/>
            <w:u w:val="single"/>
          </w:rPr>
          <w:t xml:space="preserve">Pipeline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nscvsr1u2lyiru1ym39st">
        <w:r>
          <w:rPr>
            <w:rStyle w:val="Hyperlink"/>
            <w:color w:val="2E5A8C"/>
            <w:sz w:val="16"/>
            <w:szCs w:val="16"/>
            <w:u w:val="single"/>
          </w:rPr>
          <w:t xml:space="preserve">360Dx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Predicting immunomodulatory response. </w:t>
      </w:r>
      <w:r>
        <w:rPr>
          <w:sz w:val="20"/>
          <w:szCs w:val="20"/>
        </w:rPr>
        <w:t xml:space="preserve">In analyses of multiple RCTs, HI-DEF scores were associated with differential mortality in patients treated with immunomodulatory drugs (e.g., anakinra, corticosteroids) — i.e., the platform may identify who responds to which therapy. Inflammatix is working with drug/device companies on this companion-diagnostic angle. This is the highest-value long-term story: shifting from diagnostic to therapy-guidance.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e5yacr1gxkebfca7ac8ly">
        <w:r>
          <w:rPr>
            <w:rStyle w:val="Hyperlink"/>
            <w:color w:val="2E5A8C"/>
            <w:sz w:val="16"/>
            <w:szCs w:val="16"/>
            <w:u w:val="single"/>
          </w:rPr>
          <w:t xml:space="preserve">HI-DEF (Nature Med)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bmyhh8uxw3a2zrgxk31lh">
        <w:r>
          <w:rPr>
            <w:rStyle w:val="Hyperlink"/>
            <w:color w:val="2E5A8C"/>
            <w:sz w:val="16"/>
            <w:szCs w:val="16"/>
            <w:u w:val="single"/>
          </w:rPr>
          <w:t xml:space="preserve">Pipeline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Additional pipeline (company-stated, prep call — not yet public). </w:t>
      </w:r>
      <w:r>
        <w:rPr>
          <w:sz w:val="20"/>
          <w:szCs w:val="20"/>
        </w:rPr>
        <w:t xml:space="preserve">Management describes new products in development including an Acute MI (heart-attack) application and productized endotype tests, plus a ~$15 cost-of-goods target per test that underpins the population-scale economics. These are not in public materials — raise as questions, don't assert.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Interventional &amp; upcoming trials. </w:t>
      </w:r>
      <w:r>
        <w:rPr>
          <w:sz w:val="20"/>
          <w:szCs w:val="20"/>
        </w:rPr>
        <w:t xml:space="preserve">TIMED (initiated Nov 2024) is the first interventional, pre/post study of TriVerity's impact on ED patient management vs. standard of care. Company states (prep call) two BARDA-funded randomized controlled trials are slated to start later this year — verify timing/design directly, as these aren't yet in public releases.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zqimxf_p9m_gfoxpsop6m">
        <w:r>
          <w:rPr>
            <w:rStyle w:val="Hyperlink"/>
            <w:color w:val="2E5A8C"/>
            <w:sz w:val="16"/>
            <w:szCs w:val="16"/>
            <w:u w:val="single"/>
          </w:rPr>
          <w:t xml:space="preserve">TIMED PR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FDA clearance — Jan 2025. </w:t>
      </w:r>
      <w:r>
        <w:rPr>
          <w:sz w:val="20"/>
          <w:szCs w:val="20"/>
        </w:rPr>
        <w:t xml:space="preserve">510(k) marketing authorization for the TriVerity Test System. Followed a Nov 2023 Breakthrough Device Designation; the company notes only ~10% of Breakthrough Devices reach clearance. (Date nuance: PRs say Jan 21, 2025; the military release cites an FDA clearance date of Jan 10, 2025 — worth not over-precising.)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lmc_nlimfl7jqkrzeuzlr">
        <w:r>
          <w:rPr>
            <w:rStyle w:val="Hyperlink"/>
            <w:color w:val="2E5A8C"/>
            <w:sz w:val="16"/>
            <w:szCs w:val="16"/>
            <w:u w:val="single"/>
          </w:rPr>
          <w:t xml:space="preserve">FDA PR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rgss47148sz1c4j_yp-yv">
        <w:r>
          <w:rPr>
            <w:rStyle w:val="Hyperlink"/>
            <w:color w:val="2E5A8C"/>
            <w:sz w:val="16"/>
            <w:szCs w:val="16"/>
            <w:u w:val="single"/>
          </w:rPr>
          <w:t xml:space="preserve">Military PR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CMS NTAP — FY2026. </w:t>
      </w:r>
      <w:r>
        <w:rPr>
          <w:sz w:val="20"/>
          <w:szCs w:val="20"/>
        </w:rPr>
        <w:t xml:space="preserve">Granted New Technology Add-On Payment for the severity score, so hospitals get additional payment on top of the standard DRG for eligible inpatient cases — removing a key adoption barrier. Also positioned to help hospitals meet the CMS SEP-1 sepsis bundle.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hboruw7gzbgqyo78wcw0y">
        <w:r>
          <w:rPr>
            <w:rStyle w:val="Hyperlink"/>
            <w:color w:val="2E5A8C"/>
            <w:sz w:val="16"/>
            <w:szCs w:val="16"/>
            <w:u w:val="single"/>
          </w:rPr>
          <w:t xml:space="preserve">NTAP PR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ertqmc07dmvj-srulrnue">
        <w:r>
          <w:rPr>
            <w:rStyle w:val="Hyperlink"/>
            <w:color w:val="2E5A8C"/>
            <w:sz w:val="16"/>
            <w:szCs w:val="16"/>
            <w:u w:val="single"/>
          </w:rPr>
          <w:t xml:space="preserve">Series E PR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Early hospital adoption. </w:t>
      </w:r>
      <w:r>
        <w:rPr>
          <w:sz w:val="20"/>
          <w:szCs w:val="20"/>
        </w:rPr>
        <w:t xml:space="preserve">First-adopter hospitals announced through late-2025/early-2026: University Hospital (USA Health, first in Alabama, Nov 2025); AnMed (first in South Carolina, Mar 2026). COO hired Jun 2025 specifically to scale manufacturing and delivery to meet demand.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u1cnhnvwatu-2dyl8wqct">
        <w:r>
          <w:rPr>
            <w:rStyle w:val="Hyperlink"/>
            <w:color w:val="2E5A8C"/>
            <w:sz w:val="16"/>
            <w:szCs w:val="16"/>
            <w:u w:val="single"/>
          </w:rPr>
          <w:t xml:space="preserve">USA Health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thbkgob2ntmhwpgbmmq8f">
        <w:r>
          <w:rPr>
            <w:rStyle w:val="Hyperlink"/>
            <w:color w:val="2E5A8C"/>
            <w:sz w:val="16"/>
            <w:szCs w:val="16"/>
            <w:u w:val="single"/>
          </w:rPr>
          <w:t xml:space="preserve">Newsroom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68d-6mq2dsodwwvli95rl">
        <w:r>
          <w:rPr>
            <w:rStyle w:val="Hyperlink"/>
            <w:color w:val="2E5A8C"/>
            <w:sz w:val="16"/>
            <w:szCs w:val="16"/>
            <w:u w:val="single"/>
          </w:rPr>
          <w:t xml:space="preserve">COO PR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U.S. military evaluation. </w:t>
      </w:r>
      <w:r>
        <w:rPr>
          <w:sz w:val="20"/>
          <w:szCs w:val="20"/>
        </w:rPr>
        <w:t xml:space="preserve">Shipped cartridges + Myrna instruments to JPEO-CBRND (Mar 2025) for field evaluation in deployed/biothreat settings. Initial $1.2M phase, with future options worth up to $20.8M.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ghcntax2rrumbpcgcodmf">
        <w:r>
          <w:rPr>
            <w:rStyle w:val="Hyperlink"/>
            <w:color w:val="2E5A8C"/>
            <w:sz w:val="16"/>
            <w:szCs w:val="16"/>
            <w:u w:val="single"/>
          </w:rPr>
          <w:t xml:space="preserve">Military PR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Emerging-threat use case. </w:t>
      </w:r>
      <w:r>
        <w:rPr>
          <w:sz w:val="20"/>
          <w:szCs w:val="20"/>
        </w:rPr>
        <w:t xml:space="preserve">Jun 2026: collaboration with University of Nebraska Medical Center &amp; the National Quarantine Unit to explore TriVerity's host-response signal for early hantavirus identification — leaning into the pitch that host-response tests work even when a pathogen-specific test doesn't yet exist.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gwbgckp5pyj-4ysnkhjyr">
        <w:r>
          <w:rPr>
            <w:rStyle w:val="Hyperlink"/>
            <w:color w:val="2E5A8C"/>
            <w:sz w:val="16"/>
            <w:szCs w:val="16"/>
            <w:u w:val="single"/>
          </w:rPr>
          <w:t xml:space="preserve">Hantavirus PR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euoy2xk1lmgfby2wo9ddb">
        <w:r>
          <w:rPr>
            <w:rStyle w:val="Hyperlink"/>
            <w:color w:val="2E5A8C"/>
            <w:sz w:val="16"/>
            <w:szCs w:val="16"/>
            <w:u w:val="single"/>
          </w:rPr>
          <w:t xml:space="preserve">GenomeWeb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Heading2"/>
        <w:spacing w:after="100" w:before="200"/>
      </w:pPr>
      <w:r>
        <w:rPr>
          <w:b/>
          <w:bCs/>
          <w:color w:val="333333"/>
          <w:sz w:val="24"/>
          <w:szCs w:val="24"/>
        </w:rPr>
        <w:t xml:space="preserve">Competitive landscape &amp; why it matters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Direct host-response rival: </w:t>
      </w:r>
      <w:r>
        <w:rPr>
          <w:sz w:val="20"/>
          <w:szCs w:val="20"/>
        </w:rPr>
        <w:t xml:space="preserve">MeMed (MeMed BV, bacterial-vs-viral host protein test). Other named comparables: CytoVale (IntelliSep, sepsis risk), Immunexpress (SeptiCyte), Prenosis (ImmunoScore, FDA de novo 2024). TriVerity's distinct claim is combining infection-type AND a quantitative severity/deterioration score in one run.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ceb3stfzrgxvxitkn1qez">
        <w:r>
          <w:rPr>
            <w:rStyle w:val="Hyperlink"/>
            <w:color w:val="2E5A8C"/>
            <w:sz w:val="16"/>
            <w:szCs w:val="16"/>
            <w:u w:val="single"/>
          </w:rPr>
          <w:t xml:space="preserve">Tracxn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35t5ylqguuh2efwpyu5uu">
        <w:r>
          <w:rPr>
            <w:rStyle w:val="Hyperlink"/>
            <w:color w:val="2E5A8C"/>
            <w:sz w:val="16"/>
            <w:szCs w:val="16"/>
            <w:u w:val="single"/>
          </w:rPr>
          <w:t xml:space="preserve">360Dx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The thesis. </w:t>
      </w:r>
      <w:r>
        <w:rPr>
          <w:sz w:val="20"/>
          <w:szCs w:val="20"/>
        </w:rPr>
        <w:t xml:space="preserve">Sepsis is the leading cause of in-hospital death and the single most expensive diagnosis to the health system; existing tests force a binary 'septic / not septic' label on what is really a syndrome. TriVerity reframes the question around infection presence + deterioration risk — the two things that actually change ED decisions.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h3pj9ylo7m9ocj8vricy8">
        <w:r>
          <w:rPr>
            <w:rStyle w:val="Hyperlink"/>
            <w:color w:val="2E5A8C"/>
            <w:sz w:val="16"/>
            <w:szCs w:val="16"/>
            <w:u w:val="single"/>
          </w:rPr>
          <w:t xml:space="preserve">Medical Economics</w:t>
        </w:r>
      </w:hyperlink>
      <w:r>
        <w:rPr>
          <w:color w:val="2E5A8C"/>
          <w:sz w:val="16"/>
          <w:szCs w:val="16"/>
        </w:rPr>
        <w:t xml:space="preserve">]</w:t>
      </w:r>
      <w:r>
        <w:rPr>
          <w:sz w:val="16"/>
          <w:szCs w:val="16"/>
        </w:rPr>
        <w:t xml:space="preserve"> </w:t>
      </w:r>
      <w:r>
        <w:rPr>
          <w:color w:val="2E5A8C"/>
          <w:sz w:val="16"/>
          <w:szCs w:val="16"/>
        </w:rPr>
        <w:t xml:space="preserve">[</w:t>
      </w:r>
      <w:hyperlink w:history="1" r:id="rIdxxkgg9p67wphqu8v9ehqp">
        <w:r>
          <w:rPr>
            <w:rStyle w:val="Hyperlink"/>
            <w:color w:val="2E5A8C"/>
            <w:sz w:val="16"/>
            <w:szCs w:val="16"/>
            <w:u w:val="single"/>
          </w:rPr>
          <w:t xml:space="preserve">Nature Med PR</w:t>
        </w:r>
      </w:hyperlink>
      <w:r>
        <w:rPr>
          <w:color w:val="2E5A8C"/>
          <w:sz w:val="16"/>
          <w:szCs w:val="16"/>
        </w:rPr>
        <w:t xml:space="preserve">]</w:t>
      </w:r>
    </w:p>
    <w:p>
      <w:pPr>
        <w:pStyle w:val="Heading2"/>
        <w:spacing w:after="100" w:before="200"/>
      </w:pPr>
      <w:r>
        <w:rPr>
          <w:b/>
          <w:bCs/>
          <w:color w:val="333333"/>
          <w:sz w:val="24"/>
          <w:szCs w:val="24"/>
        </w:rPr>
        <w:t xml:space="preserve">Naming note (useful if older sources come up)</w:t>
      </w:r>
    </w:p>
    <w:p>
      <w:pPr>
        <w:spacing w:after="160" w:before="0"/>
      </w:pPr>
      <w:r>
        <w:rPr>
          <w:color w:val="444444"/>
          <w:sz w:val="18"/>
          <w:szCs w:val="18"/>
        </w:rPr>
        <w:t xml:space="preserve">Older press and trackers reference legacy product names — HostDx, InSep, ViraBac — and the platform tag "host response." These have been consolidated under TriVerity™ (test) + Myrna™ (instrument). Treat the old names as historical aliases, not active products. Also note the easy-to-confuse look-alike "Inflammatrix" (a Cyto-Matrix supplement) is unrelated.</w:t>
      </w:r>
    </w:p>
    <w:p>
      <w:pPr>
        <w:pBdr>
          <w:top w:val="single" w:color="2E5A8C" w:sz="6"/>
        </w:pBdr>
        <w:spacing w:after="80" w:before="120"/>
      </w:pPr>
      <w:r>
        <w:rPr>
          <w:b/>
          <w:bCs/>
          <w:color w:val="2E5A8C"/>
          <w:sz w:val="20"/>
          <w:szCs w:val="20"/>
        </w:rPr>
        <w:t xml:space="preserve">⚠ Verify the morning of the call: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18"/>
          <w:szCs w:val="18"/>
        </w:rPr>
        <w:t xml:space="preserve">Company-stated (prep-call) figures that are NOT yet public — confirm on the record before quoting: ~1 life saved per 10 tested; ICU/acute-care TAM larger than all of oncology; ~35% compound monthly growth and ~5x growth next year; ~$15 cost of goods per test; Acute MI pipeline product; two BARDA-funded RCTs starting later this year.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18"/>
          <w:szCs w:val="18"/>
        </w:rPr>
        <w:t xml:space="preserve">Total-funding figure — company says &gt;$200M private + &gt;$50M grants; Tracxn $191M; PitchBook $213M. Use the company's framing; avoid a single precise number.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18"/>
          <w:szCs w:val="18"/>
        </w:rPr>
        <w:t xml:space="preserve">Any new hospital-adoption or health-economics data since the Nature Medicine package (Sep 2025) and the hantavirus collaboration (Jun 2026).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18"/>
          <w:szCs w:val="18"/>
        </w:rPr>
        <w:t xml:space="preserve">Whether the exact SEPSIS-SHIELD sensitivity/specificity figures you want to quote are in the Nature Medicine paper itself — the PRs give the qualitative headline; the severity-score AUROC (0.78) is from the Univ. Kentucky validation.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lshsdrmmilokdelgo2em" Type="http://schemas.openxmlformats.org/officeDocument/2006/relationships/hyperlink" Target="https://www.prnewswire.com/news-releases/inflammatix-receives-fda-clearance-for-first-in-class-triverity-test-302355591.html" TargetMode="External"/><Relationship Id="rIdmh-xyhfwl_p_qcn7bbgyv" Type="http://schemas.openxmlformats.org/officeDocument/2006/relationships/hyperlink" Target="https://www.prnewswire.com/news-releases/inflammatix-announces-three-landmark-publications-in-nature-medicine-that-redefine-acute-infection-and-sepsis-diagnosis-and-treatment-302570766.html" TargetMode="External"/><Relationship Id="rIdldggtfchvo0zeadaq-ehh" Type="http://schemas.openxmlformats.org/officeDocument/2006/relationships/hyperlink" Target="https://inflammatix.com/pipeline/" TargetMode="External"/><Relationship Id="rIdadgkuratlo23ys4oedqgo" Type="http://schemas.openxmlformats.org/officeDocument/2006/relationships/hyperlink" Target="https://tracxn.com/d/companies/inflammatix/__H_7fGC98n9MdbkCcu6FsR3rDPyCwNSRRnw1f5XygXY8" TargetMode="External"/><Relationship Id="rId_0w_2-h-dw67qrvshlaac" Type="http://schemas.openxmlformats.org/officeDocument/2006/relationships/hyperlink" Target="https://www.prnewswire.com/news-releases/inflammatix-receives-fda-clearance-for-first-in-class-triverity-test-302355591.html" TargetMode="External"/><Relationship Id="rIdwkfyz7r2645pglmb3iree" Type="http://schemas.openxmlformats.org/officeDocument/2006/relationships/hyperlink" Target="https://tracxn.com/d/companies/inflammatix/__H_7fGC98n9MdbkCcu6FsR3rDPyCwNSRRnw1f5XygXY8" TargetMode="External"/><Relationship Id="rId-46abgx-cmmj_yu9x0q1w" Type="http://schemas.openxmlformats.org/officeDocument/2006/relationships/hyperlink" Target="https://www.prnewswire.com/news-releases/inflammatix-secures-57-million-to-advance-novel-diagnostic-for-patients-with-suspected-infections-or-sepsis-302245590.html" TargetMode="External"/><Relationship Id="rIdbhyyk6nvexa5jno7es341" Type="http://schemas.openxmlformats.org/officeDocument/2006/relationships/hyperlink" Target="https://www.medtechdive.com/news/Inflammatix-57M-funding-round-TriVerity-blood-test-acute-infection-sepsis/726975/" TargetMode="External"/><Relationship Id="rIdmgkr9j_u7a_ayqrrqvz6s" Type="http://schemas.openxmlformats.org/officeDocument/2006/relationships/hyperlink" Target="https://tracxn.com/d/companies/inflammatix/__H_7fGC98n9MdbkCcu6FsR3rDPyCwNSRRnw1f5XygXY8" TargetMode="External"/><Relationship Id="rIdlual_-bnhpor2xxf1rfgl" Type="http://schemas.openxmlformats.org/officeDocument/2006/relationships/hyperlink" Target="https://inflammatix.com/inflammatix-names-martin-vazquez-as-chief-operating-officer-to-drive-national-scale-up-of-triverity-test-system/" TargetMode="External"/><Relationship Id="rIdbszdyryohsujjozogefap" Type="http://schemas.openxmlformats.org/officeDocument/2006/relationships/hyperlink" Target="https://www.prnewswire.com/news-releases/inflammatix-ships-triverity-test-cartridges-and-myrna-instruments-to-the-us-military-302409649.html" TargetMode="External"/><Relationship Id="rIdflcuzxyeo2lk0ycrtwib3" Type="http://schemas.openxmlformats.org/officeDocument/2006/relationships/hyperlink" Target="https://inflammatix.com/inflammatix-names-martin-vazquez-as-chief-operating-officer-to-drive-national-scale-up-of-triverity-test-system/" TargetMode="External"/><Relationship Id="rId9cp9oekn6sw16uzmxcm2h" Type="http://schemas.openxmlformats.org/officeDocument/2006/relationships/hyperlink" Target="https://www.prnewswire.com/news-releases/inflammatix-receives-fda-clearance-for-first-in-class-triverity-test-302355591.html" TargetMode="External"/><Relationship Id="rIdftav29-qoikurhlxo_jjv" Type="http://schemas.openxmlformats.org/officeDocument/2006/relationships/hyperlink" Target="https://www.medicaleconomics.com/view/inflammatix-gets-fda-clearance-for-triverity-test-to-identify-and-assess-acute-sepsis-and-other-infections" TargetMode="External"/><Relationship Id="rId80wfrz3oe3h2ohmaibuey" Type="http://schemas.openxmlformats.org/officeDocument/2006/relationships/hyperlink" Target="https://www.prnewswire.com/news-releases/inflammatix-collaborates-with-university-of-nebraska-medical-center-to-support-rapid-response-to-the-hantavirus-outbreak-using-triverity-302800729.html" TargetMode="External"/><Relationship Id="rIdahxhnnivi4ghqxew-_09b" Type="http://schemas.openxmlformats.org/officeDocument/2006/relationships/hyperlink" Target="https://inflammatix.com/inflammatix-presents-triverity-data-at-acep24/" TargetMode="External"/><Relationship Id="rIdjxwboncz04gwemrx9i32g" Type="http://schemas.openxmlformats.org/officeDocument/2006/relationships/hyperlink" Target="https://www.genomeweb.com/molecular-diagnostics/inflammatix-university-nebraska-medical-center-assess-immune-response-test" TargetMode="External"/><Relationship Id="rIdmklopsvefooagdzb3jb0y" Type="http://schemas.openxmlformats.org/officeDocument/2006/relationships/hyperlink" Target="https://www.prnewswire.com/news-releases/inflammatix-collaborates-with-university-of-nebraska-medical-center-to-support-rapid-response-to-the-hantavirus-outbreak-using-triverity-302800729.html" TargetMode="External"/><Relationship Id="rIdbs240cpcvc2gmh24wdijd" Type="http://schemas.openxmlformats.org/officeDocument/2006/relationships/hyperlink" Target="https://www.prnewswire.com/news-releases/inflammatix-collaborates-with-university-of-nebraska-medical-center-to-support-rapid-response-to-the-hantavirus-outbreak-using-triverity-302800729.html" TargetMode="External"/><Relationship Id="rIdk1-fjonkk4h8n5ch-jy5j" Type="http://schemas.openxmlformats.org/officeDocument/2006/relationships/hyperlink" Target="https://www.prnewswire.com/news-releases/inflammatix-receives-fda-clearance-for-first-in-class-triverity-test-302355591.html" TargetMode="External"/><Relationship Id="rId95ek6gxn4ctamh8eh8zz2" Type="http://schemas.openxmlformats.org/officeDocument/2006/relationships/hyperlink" Target="https://www.prnewswire.com/news-releases/inflammatix-receives-fda-clearance-for-first-in-class-triverity-test-302355591.html" TargetMode="External"/><Relationship Id="rIdvncodk_pqzezdcgojsjbv" Type="http://schemas.openxmlformats.org/officeDocument/2006/relationships/hyperlink" Target="https://www.prnewswire.com/news-releases/inflammatix-announces-three-landmark-publications-in-nature-medicine-that-redefine-acute-infection-and-sepsis-diagnosis-and-treatment-302570766.html" TargetMode="External"/><Relationship Id="rIdjyek1eknhvxaffw1hmhee" Type="http://schemas.openxmlformats.org/officeDocument/2006/relationships/hyperlink" Target="https://www.360dx.com/molecular-diagnostics/inflammatix-sepsis-test-outperformed-established-biomarkers-study-finds" TargetMode="External"/><Relationship Id="rId8wfqcpun8x3qezsnyr-sf" Type="http://schemas.openxmlformats.org/officeDocument/2006/relationships/hyperlink" Target="https://scholars.uky.edu/en/publications/clinical-validation-of-an-ai-based-blood-testing-device-for-diagn/" TargetMode="External"/><Relationship Id="rIdenmvzktf0bc_m6zousq93" Type="http://schemas.openxmlformats.org/officeDocument/2006/relationships/hyperlink" Target="https://inflammatix.com/inflammatix-data-in-journal-of-clinical-microbiology-validate-accuracy-robustness-and-ease-of-use-of-triverity-test-system/" TargetMode="External"/><Relationship Id="rIdwnsztz3iy-wthixwtmt5q" Type="http://schemas.openxmlformats.org/officeDocument/2006/relationships/hyperlink" Target="https://inflammatix.com/inflammatix-presents-triverity-data-at-acep24/" TargetMode="External"/><Relationship Id="rId9_jrw-z7ka2gf1mrz7bob" Type="http://schemas.openxmlformats.org/officeDocument/2006/relationships/hyperlink" Target="https://www.morningstar.com/news/pr-newswire/20250930sf86906/inflammatix-announces-three-landmark-publications-in-nature-medicine-that-redefine-acute-infection-and-sepsis-diagnosis-and-treatment" TargetMode="External"/><Relationship Id="rIdfz6ohu1orub3vuzxznoxt" Type="http://schemas.openxmlformats.org/officeDocument/2006/relationships/hyperlink" Target="https://inflammatix.com/pipeline/" TargetMode="External"/><Relationship Id="rIdnscvsr1u2lyiru1ym39st" Type="http://schemas.openxmlformats.org/officeDocument/2006/relationships/hyperlink" Target="https://www.360dx.com/molecular-diagnostics/inflammatix-preps-immune-response-sepsis-dx-fda-clinical-trial-lays-out-future" TargetMode="External"/><Relationship Id="rIde5yacr1gxkebfca7ac8ly" Type="http://schemas.openxmlformats.org/officeDocument/2006/relationships/hyperlink" Target="https://www.morningstar.com/news/pr-newswire/20250930sf86906/inflammatix-announces-three-landmark-publications-in-nature-medicine-that-redefine-acute-infection-and-sepsis-diagnosis-and-treatment" TargetMode="External"/><Relationship Id="rIdbmyhh8uxw3a2zrgxk31lh" Type="http://schemas.openxmlformats.org/officeDocument/2006/relationships/hyperlink" Target="https://inflammatix.com/pipeline/" TargetMode="External"/><Relationship Id="rIdzqimxf_p9m_gfoxpsop6m" Type="http://schemas.openxmlformats.org/officeDocument/2006/relationships/hyperlink" Target="https://www.prnewswire.com/news-releases/inflammatix-initiates-triverity-for-improved-management-of-emergency-department-patients-with-suspected-infections-timed-trial-302300781.html" TargetMode="External"/><Relationship Id="rIdlmc_nlimfl7jqkrzeuzlr" Type="http://schemas.openxmlformats.org/officeDocument/2006/relationships/hyperlink" Target="https://www.prnewswire.com/news-releases/inflammatix-receives-fda-clearance-for-first-in-class-triverity-test-302355591.html" TargetMode="External"/><Relationship Id="rIdrgss47148sz1c4j_yp-yv" Type="http://schemas.openxmlformats.org/officeDocument/2006/relationships/hyperlink" Target="https://www.prnewswire.com/news-releases/inflammatix-ships-triverity-test-cartridges-and-myrna-instruments-to-the-us-military-302409649.html" TargetMode="External"/><Relationship Id="rIdhboruw7gzbgqyo78wcw0y" Type="http://schemas.openxmlformats.org/officeDocument/2006/relationships/hyperlink" Target="https://www.prnewswire.com/news-releases/inflammatixs-triverity-test-secures-ntap-reimbursement-from-cms-for-first-in-class-severity-score-working-in-concert-with-bacterial-and-viral-insights-302520678.html" TargetMode="External"/><Relationship Id="rIdertqmc07dmvj-srulrnue" Type="http://schemas.openxmlformats.org/officeDocument/2006/relationships/hyperlink" Target="https://www.prnewswire.com/news-releases/inflammatix-secures-57-million-to-advance-novel-diagnostic-for-patients-with-suspected-infections-or-sepsis-302245590.html" TargetMode="External"/><Relationship Id="rIdu1cnhnvwatu-2dyl8wqct" Type="http://schemas.openxmlformats.org/officeDocument/2006/relationships/hyperlink" Target="https://www.usahealthsystem.com/news/uh-sepsis-tool-triverity" TargetMode="External"/><Relationship Id="rIdthbkgob2ntmhwpgbmmq8f" Type="http://schemas.openxmlformats.org/officeDocument/2006/relationships/hyperlink" Target="https://inflammatix.com/newsroom/" TargetMode="External"/><Relationship Id="rId68d-6mq2dsodwwvli95rl" Type="http://schemas.openxmlformats.org/officeDocument/2006/relationships/hyperlink" Target="https://inflammatix.com/inflammatix-names-martin-vazquez-as-chief-operating-officer-to-drive-national-scale-up-of-triverity-test-system/" TargetMode="External"/><Relationship Id="rIdghcntax2rrumbpcgcodmf" Type="http://schemas.openxmlformats.org/officeDocument/2006/relationships/hyperlink" Target="https://www.prnewswire.com/news-releases/inflammatix-ships-triverity-test-cartridges-and-myrna-instruments-to-the-us-military-302409649.html" TargetMode="External"/><Relationship Id="rIdgwbgckp5pyj-4ysnkhjyr" Type="http://schemas.openxmlformats.org/officeDocument/2006/relationships/hyperlink" Target="https://www.prnewswire.com/news-releases/inflammatix-collaborates-with-university-of-nebraska-medical-center-to-support-rapid-response-to-the-hantavirus-outbreak-using-triverity-302800729.html" TargetMode="External"/><Relationship Id="rIdeuoy2xk1lmgfby2wo9ddb" Type="http://schemas.openxmlformats.org/officeDocument/2006/relationships/hyperlink" Target="https://www.genomeweb.com/molecular-diagnostics/inflammatix-university-nebraska-medical-center-assess-immune-response-test" TargetMode="External"/><Relationship Id="rIdceb3stfzrgxvxitkn1qez" Type="http://schemas.openxmlformats.org/officeDocument/2006/relationships/hyperlink" Target="https://tracxn.com/d/companies/inflammatix/__H_7fGC98n9MdbkCcu6FsR3rDPyCwNSRRnw1f5XygXY8" TargetMode="External"/><Relationship Id="rId35t5ylqguuh2efwpyu5uu" Type="http://schemas.openxmlformats.org/officeDocument/2006/relationships/hyperlink" Target="https://www.360dx.com/molecular-diagnostics/inflammatix-sepsis-test-outperformed-established-biomarkers-study-finds" TargetMode="External"/><Relationship Id="rIdh3pj9ylo7m9ocj8vricy8" Type="http://schemas.openxmlformats.org/officeDocument/2006/relationships/hyperlink" Target="https://www.medicaleconomics.com/view/inflammatix-gets-fda-clearance-for-triverity-test-to-identify-and-assess-acute-sepsis-and-other-infections" TargetMode="External"/><Relationship Id="rIdxxkgg9p67wphqu8v9ehqp" Type="http://schemas.openxmlformats.org/officeDocument/2006/relationships/hyperlink" Target="https://www.prnewswire.com/news-releases/inflammatix-announces-three-landmark-publications-in-nature-medicine-that-redefine-acute-infection-and-sepsis-diagnosis-and-treatment-302570766.html" TargetMode="External"/><Relationship Id="rId5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2026-07-10T17:32:31.282Z</dcterms:created>
  <dcterms:modified xsi:type="dcterms:W3CDTF">2026-07-10T17:32:31.298Z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