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A8C"/>
          <w:sz w:val="32"/>
          <w:szCs w:val="32"/>
        </w:rPr>
        <w:t xml:space="preserve">Fireside Questions — Inflammatix</w:t>
      </w:r>
    </w:p>
    <w:p>
      <w:pPr>
        <w:spacing w:after="40" w:before="0"/>
        <w:jc w:val="center"/>
      </w:pPr>
      <w:r>
        <w:rPr>
          <w:sz w:val="20"/>
          <w:szCs w:val="20"/>
        </w:rPr>
        <w:t xml:space="preserve">30-minute call · CEO Tim Sweeney (or Chief Scientist Purvesh Khatri)</w:t>
      </w:r>
    </w:p>
    <w:p>
      <w:pPr>
        <w:spacing w:after="160" w:before="0"/>
      </w:pPr>
      <w:r>
        <w:rPr>
          <w:i/>
          <w:iCs/>
          <w:color w:val="444444"/>
          <w:sz w:val="18"/>
          <w:szCs w:val="18"/>
        </w:rPr>
        <w:t xml:space="preserve">Questions only, with a thematic roadmap, primary set (~30 min), and backups. Public metrics are tied to a primary source; figures shared in your prep call (not yet public) are framed as questions inviting the guest to confirm on the record, never asserted. The sharp threads: the severity score, the sepsis-definition reframing, host-response vs. pathogen tests, the leap from sepsis test to acute-inflammation platform, unit economics, and growth.</w:t>
      </w:r>
    </w:p>
    <w:p>
      <w:pPr>
        <w:pStyle w:val="Heading2"/>
        <w:spacing w:after="100" w:before="200"/>
      </w:pPr>
      <w:r>
        <w:rPr>
          <w:b/>
          <w:bCs/>
          <w:color w:val="333333"/>
          <w:sz w:val="24"/>
          <w:szCs w:val="24"/>
        </w:rPr>
        <w:t xml:space="preserve">Roadmap — themes for this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shd w:fill="EAF0F7" w:color="auto" w:val="clear"/>
            <w:tcMar>
              <w:top w:type="dxa" w:w="60"/>
              <w:left w:type="dxa" w:w="100"/>
              <w:bottom w:type="dxa" w:w="60"/>
              <w:right w:type="dxa" w:w="100"/>
            </w:tcMar>
          </w:tcPr>
          <w:p>
            <w:r>
              <w:rPr>
                <w:b/>
                <w:bCs/>
                <w:sz w:val="20"/>
                <w:szCs w:val="20"/>
              </w:rPr>
              <w:t xml:space="preserve">A</w:t>
            </w:r>
          </w:p>
        </w:tc>
        <w:tc>
          <w:tcPr>
            <w:tcW w:type="dxa" w:w="3200"/>
            <w:tcMar>
              <w:top w:type="dxa" w:w="60"/>
              <w:left w:type="dxa" w:w="100"/>
              <w:bottom w:type="dxa" w:w="60"/>
              <w:right w:type="dxa" w:w="100"/>
            </w:tcMar>
          </w:tcPr>
          <w:p>
            <w:r>
              <w:rPr>
                <w:b/>
                <w:bCs/>
                <w:sz w:val="20"/>
                <w:szCs w:val="20"/>
              </w:rPr>
              <w:t xml:space="preserve">Science &amp; differentiation</w:t>
            </w:r>
          </w:p>
        </w:tc>
        <w:tc>
          <w:tcPr>
            <w:tcW w:type="dxa" w:w="5260"/>
            <w:tcMar>
              <w:top w:type="dxa" w:w="60"/>
              <w:left w:type="dxa" w:w="100"/>
              <w:bottom w:type="dxa" w:w="60"/>
              <w:right w:type="dxa" w:w="100"/>
            </w:tcMar>
          </w:tcPr>
          <w:p>
            <w:r>
              <w:rPr>
                <w:sz w:val="20"/>
                <w:szCs w:val="20"/>
              </w:rPr>
              <w:t xml:space="preserve">Host response vs. pathogen detection; why read the immune system; the 29-mRNA + ML approach</w:t>
            </w:r>
          </w:p>
        </w:tc>
      </w:tr>
      <w:tr>
        <w:tc>
          <w:tcPr>
            <w:tcW w:type="dxa" w:w="900"/>
            <w:shd w:fill="EAF0F7" w:color="auto" w:val="clear"/>
            <w:tcMar>
              <w:top w:type="dxa" w:w="60"/>
              <w:left w:type="dxa" w:w="100"/>
              <w:bottom w:type="dxa" w:w="60"/>
              <w:right w:type="dxa" w:w="100"/>
            </w:tcMar>
          </w:tcPr>
          <w:p>
            <w:r>
              <w:rPr>
                <w:b/>
                <w:bCs/>
                <w:sz w:val="20"/>
                <w:szCs w:val="20"/>
              </w:rPr>
              <w:t xml:space="preserve">B</w:t>
            </w:r>
          </w:p>
        </w:tc>
        <w:tc>
          <w:tcPr>
            <w:tcW w:type="dxa" w:w="3200"/>
            <w:tcMar>
              <w:top w:type="dxa" w:w="60"/>
              <w:left w:type="dxa" w:w="100"/>
              <w:bottom w:type="dxa" w:w="60"/>
              <w:right w:type="dxa" w:w="100"/>
            </w:tcMar>
          </w:tcPr>
          <w:p>
            <w:r>
              <w:rPr>
                <w:b/>
                <w:bCs/>
                <w:sz w:val="20"/>
                <w:szCs w:val="20"/>
              </w:rPr>
              <w:t xml:space="preserve">The severity score &amp; impact</w:t>
            </w:r>
          </w:p>
        </w:tc>
        <w:tc>
          <w:tcPr>
            <w:tcW w:type="dxa" w:w="5260"/>
            <w:tcMar>
              <w:top w:type="dxa" w:w="60"/>
              <w:left w:type="dxa" w:w="100"/>
              <w:bottom w:type="dxa" w:w="60"/>
              <w:right w:type="dxa" w:w="100"/>
            </w:tcMar>
          </w:tcPr>
          <w:p>
            <w:r>
              <w:rPr>
                <w:sz w:val="20"/>
                <w:szCs w:val="20"/>
              </w:rPr>
              <w:t xml:space="preserve">The first-in-class deterioration score; NTAP; the lives-saved and TAM framing</w:t>
            </w:r>
          </w:p>
        </w:tc>
      </w:tr>
      <w:tr>
        <w:tc>
          <w:tcPr>
            <w:tcW w:type="dxa" w:w="900"/>
            <w:shd w:fill="EAF0F7" w:color="auto" w:val="clear"/>
            <w:tcMar>
              <w:top w:type="dxa" w:w="60"/>
              <w:left w:type="dxa" w:w="100"/>
              <w:bottom w:type="dxa" w:w="60"/>
              <w:right w:type="dxa" w:w="100"/>
            </w:tcMar>
          </w:tcPr>
          <w:p>
            <w:r>
              <w:rPr>
                <w:b/>
                <w:bCs/>
                <w:sz w:val="20"/>
                <w:szCs w:val="20"/>
              </w:rPr>
              <w:t xml:space="preserve">C</w:t>
            </w:r>
          </w:p>
        </w:tc>
        <w:tc>
          <w:tcPr>
            <w:tcW w:type="dxa" w:w="3200"/>
            <w:tcMar>
              <w:top w:type="dxa" w:w="60"/>
              <w:left w:type="dxa" w:w="100"/>
              <w:bottom w:type="dxa" w:w="60"/>
              <w:right w:type="dxa" w:w="100"/>
            </w:tcMar>
          </w:tcPr>
          <w:p>
            <w:r>
              <w:rPr>
                <w:b/>
                <w:bCs/>
                <w:sz w:val="20"/>
                <w:szCs w:val="20"/>
              </w:rPr>
              <w:t xml:space="preserve">Evidence</w:t>
            </w:r>
          </w:p>
        </w:tc>
        <w:tc>
          <w:tcPr>
            <w:tcW w:type="dxa" w:w="5260"/>
            <w:tcMar>
              <w:top w:type="dxa" w:w="60"/>
              <w:left w:type="dxa" w:w="100"/>
              <w:bottom w:type="dxa" w:w="60"/>
              <w:right w:type="dxa" w:w="100"/>
            </w:tcMar>
          </w:tcPr>
          <w:p>
            <w:r>
              <w:rPr>
                <w:sz w:val="20"/>
                <w:szCs w:val="20"/>
              </w:rPr>
              <w:t xml:space="preserve">SEPSIS-SHIELD / Nature Medicine; sepsis-definition reframing; comparison to biomarkers</w:t>
            </w:r>
          </w:p>
        </w:tc>
      </w:tr>
      <w:tr>
        <w:tc>
          <w:tcPr>
            <w:tcW w:type="dxa" w:w="900"/>
            <w:shd w:fill="EAF0F7" w:color="auto" w:val="clear"/>
            <w:tcMar>
              <w:top w:type="dxa" w:w="60"/>
              <w:left w:type="dxa" w:w="100"/>
              <w:bottom w:type="dxa" w:w="60"/>
              <w:right w:type="dxa" w:w="100"/>
            </w:tcMar>
          </w:tcPr>
          <w:p>
            <w:r>
              <w:rPr>
                <w:b/>
                <w:bCs/>
                <w:sz w:val="20"/>
                <w:szCs w:val="20"/>
              </w:rPr>
              <w:t xml:space="preserve">D</w:t>
            </w:r>
          </w:p>
        </w:tc>
        <w:tc>
          <w:tcPr>
            <w:tcW w:type="dxa" w:w="3200"/>
            <w:tcMar>
              <w:top w:type="dxa" w:w="60"/>
              <w:left w:type="dxa" w:w="100"/>
              <w:bottom w:type="dxa" w:w="60"/>
              <w:right w:type="dxa" w:w="100"/>
            </w:tcMar>
          </w:tcPr>
          <w:p>
            <w:r>
              <w:rPr>
                <w:b/>
                <w:bCs/>
                <w:sz w:val="20"/>
                <w:szCs w:val="20"/>
              </w:rPr>
              <w:t xml:space="preserve">Platform beyond sepsis</w:t>
            </w:r>
          </w:p>
        </w:tc>
        <w:tc>
          <w:tcPr>
            <w:tcW w:type="dxa" w:w="5260"/>
            <w:tcMar>
              <w:top w:type="dxa" w:w="60"/>
              <w:left w:type="dxa" w:w="100"/>
              <w:bottom w:type="dxa" w:w="60"/>
              <w:right w:type="dxa" w:w="100"/>
            </w:tcMar>
          </w:tcPr>
          <w:p>
            <w:r>
              <w:rPr>
                <w:sz w:val="20"/>
                <w:szCs w:val="20"/>
              </w:rPr>
              <w:t xml:space="preserve">Endotypes, immunomodulatory-response prediction, Acute MI, new pipeline</w:t>
            </w:r>
          </w:p>
        </w:tc>
      </w:tr>
      <w:tr>
        <w:tc>
          <w:tcPr>
            <w:tcW w:type="dxa" w:w="900"/>
            <w:shd w:fill="EAF0F7" w:color="auto" w:val="clear"/>
            <w:tcMar>
              <w:top w:type="dxa" w:w="60"/>
              <w:left w:type="dxa" w:w="100"/>
              <w:bottom w:type="dxa" w:w="60"/>
              <w:right w:type="dxa" w:w="100"/>
            </w:tcMar>
          </w:tcPr>
          <w:p>
            <w:r>
              <w:rPr>
                <w:b/>
                <w:bCs/>
                <w:sz w:val="20"/>
                <w:szCs w:val="20"/>
              </w:rPr>
              <w:t xml:space="preserve">E</w:t>
            </w:r>
          </w:p>
        </w:tc>
        <w:tc>
          <w:tcPr>
            <w:tcW w:type="dxa" w:w="3200"/>
            <w:tcMar>
              <w:top w:type="dxa" w:w="60"/>
              <w:left w:type="dxa" w:w="100"/>
              <w:bottom w:type="dxa" w:w="60"/>
              <w:right w:type="dxa" w:w="100"/>
            </w:tcMar>
          </w:tcPr>
          <w:p>
            <w:r>
              <w:rPr>
                <w:b/>
                <w:bCs/>
                <w:sz w:val="20"/>
                <w:szCs w:val="20"/>
              </w:rPr>
              <w:t xml:space="preserve">Economics, growth &amp; vision</w:t>
            </w:r>
          </w:p>
        </w:tc>
        <w:tc>
          <w:tcPr>
            <w:tcW w:type="dxa" w:w="5260"/>
            <w:tcMar>
              <w:top w:type="dxa" w:w="60"/>
              <w:left w:type="dxa" w:w="100"/>
              <w:bottom w:type="dxa" w:w="60"/>
              <w:right w:type="dxa" w:w="100"/>
            </w:tcMar>
          </w:tcPr>
          <w:p>
            <w:r>
              <w:rPr>
                <w:sz w:val="20"/>
                <w:szCs w:val="20"/>
              </w:rPr>
              <w:t xml:space="preserve">$15 COGS transcriptomics, 5x growth belief, adoption, reimbursement, upcoming RCTs</w:t>
            </w:r>
          </w:p>
        </w:tc>
      </w:tr>
    </w:tbl>
    <w:p>
      <w:pPr>
        <w:spacing w:after="160" w:before="100"/>
      </w:pPr>
      <w:r>
        <w:rPr>
          <w:i/>
          <w:iCs/>
          <w:color w:val="666666"/>
          <w:sz w:val="18"/>
          <w:szCs w:val="18"/>
        </w:rPr>
        <w:t xml:space="preserve">Pace: 13 primary questions listed — pick ~8–10 to fit 30 min at ~3 min each with follow-up; the rest flex into backups.</w:t>
      </w:r>
    </w:p>
    <w:p>
      <w:pPr>
        <w:pStyle w:val="Heading1"/>
        <w:spacing w:after="120" w:before="240"/>
      </w:pPr>
      <w:r>
        <w:rPr>
          <w:b/>
          <w:bCs/>
          <w:color w:val="2E5A8C"/>
          <w:sz w:val="30"/>
          <w:szCs w:val="30"/>
        </w:rPr>
        <w:t xml:space="preserve">Primary questions (~30 min)</w:t>
      </w:r>
    </w:p>
    <w:p>
      <w:pPr>
        <w:pStyle w:val="Heading2"/>
        <w:spacing w:after="100" w:before="200"/>
      </w:pPr>
      <w:r>
        <w:rPr>
          <w:b/>
          <w:bCs/>
          <w:color w:val="333333"/>
          <w:sz w:val="24"/>
          <w:szCs w:val="24"/>
        </w:rPr>
        <w:t xml:space="preserve">Theme A — Science &amp; differentiation</w:t>
      </w:r>
    </w:p>
    <w:p>
      <w:pPr>
        <w:spacing w:after="60"/>
      </w:pPr>
      <w:r>
        <w:rPr>
          <w:b/>
          <w:bCs/>
          <w:color w:val="2E5A8C"/>
          <w:sz w:val="20"/>
          <w:szCs w:val="20"/>
        </w:rPr>
        <w:t xml:space="preserve">Q1. </w:t>
      </w:r>
      <w:r>
        <w:rPr>
          <w:sz w:val="20"/>
          <w:szCs w:val="20"/>
        </w:rPr>
        <w:t xml:space="preserve">Almost every infection test on the market asks "which pathogen is this?" TriVerity instead reads the patient's own immune system. In plain terms for a clinician in the room, why is reading the host response a better way to catch and triage infection than hunting for the bug?</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Opens on the core thesis and lets them differentiate from the entire PCR/culture world — their argument is that the host response is present immediately and is informative even when no pathogen-specific test exists yet.</w:t>
      </w:r>
      <w:r>
        <w:rPr>
          <w:sz w:val="16"/>
          <w:szCs w:val="16"/>
        </w:rPr>
        <w:t xml:space="preserve"> </w:t>
      </w:r>
      <w:r>
        <w:rPr>
          <w:color w:val="2E5A8C"/>
          <w:sz w:val="16"/>
          <w:szCs w:val="16"/>
        </w:rPr>
        <w:t xml:space="preserve">[</w:t>
      </w:r>
      <w:hyperlink w:history="1" r:id="rId6tubl2lxljpvatwrvsk36">
        <w:r>
          <w:rPr>
            <w:rStyle w:val="Hyperlink"/>
            <w:color w:val="2E5A8C"/>
            <w:sz w:val="16"/>
            <w:szCs w:val="16"/>
            <w:u w:val="single"/>
          </w:rPr>
          <w:t xml:space="preserve">FDA PR</w:t>
        </w:r>
      </w:hyperlink>
      <w:r>
        <w:rPr>
          <w:color w:val="2E5A8C"/>
          <w:sz w:val="16"/>
          <w:szCs w:val="16"/>
        </w:rPr>
        <w:t xml:space="preserve">]</w:t>
      </w:r>
      <w:r>
        <w:rPr>
          <w:sz w:val="16"/>
          <w:szCs w:val="16"/>
        </w:rPr>
        <w:t xml:space="preserve"> </w:t>
      </w:r>
      <w:r>
        <w:rPr>
          <w:color w:val="2E5A8C"/>
          <w:sz w:val="16"/>
          <w:szCs w:val="16"/>
        </w:rPr>
        <w:t xml:space="preserve">[</w:t>
      </w:r>
      <w:hyperlink w:history="1" r:id="rIdfn4ejo8uuiwvw76cjx9oo">
        <w:r>
          <w:rPr>
            <w:rStyle w:val="Hyperlink"/>
            <w:color w:val="2E5A8C"/>
            <w:sz w:val="16"/>
            <w:szCs w:val="16"/>
            <w:u w:val="single"/>
          </w:rPr>
          <w:t xml:space="preserve">Hantavirus PR</w:t>
        </w:r>
      </w:hyperlink>
      <w:r>
        <w:rPr>
          <w:color w:val="2E5A8C"/>
          <w:sz w:val="16"/>
          <w:szCs w:val="16"/>
        </w:rPr>
        <w:t xml:space="preserve">]</w:t>
      </w:r>
    </w:p>
    <w:p>
      <w:pPr>
        <w:spacing w:after="60"/>
      </w:pPr>
      <w:r>
        <w:rPr>
          <w:b/>
          <w:bCs/>
          <w:color w:val="2E5A8C"/>
          <w:sz w:val="20"/>
          <w:szCs w:val="20"/>
        </w:rPr>
        <w:t xml:space="preserve">Q2. </w:t>
      </w:r>
      <w:r>
        <w:rPr>
          <w:sz w:val="20"/>
          <w:szCs w:val="20"/>
        </w:rPr>
        <w:t xml:space="preserve">The test reads 29 host mRNAs and runs them through machine-learning algorithms rather than reporting a single biomarker level. Why 29 genes and an ML model instead of one or two markers — what does that combination buy you in accuracy or robustness?</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Forces an accessible mechanistic answer and gets at the moat — the panel + algorithm was built on thousands of patient profiles over a decade of Stanford research. The analytical paper reports high precision and reproducibility.</w:t>
      </w:r>
      <w:r>
        <w:rPr>
          <w:sz w:val="16"/>
          <w:szCs w:val="16"/>
        </w:rPr>
        <w:t xml:space="preserve"> </w:t>
      </w:r>
      <w:r>
        <w:rPr>
          <w:color w:val="2E5A8C"/>
          <w:sz w:val="16"/>
          <w:szCs w:val="16"/>
        </w:rPr>
        <w:t xml:space="preserve">[</w:t>
      </w:r>
      <w:hyperlink w:history="1" r:id="rIdq2-luwislr6y9_2tjnhv0">
        <w:r>
          <w:rPr>
            <w:rStyle w:val="Hyperlink"/>
            <w:color w:val="2E5A8C"/>
            <w:sz w:val="16"/>
            <w:szCs w:val="16"/>
            <w:u w:val="single"/>
          </w:rPr>
          <w:t xml:space="preserve">Managed Healthcare Exec</w:t>
        </w:r>
      </w:hyperlink>
      <w:r>
        <w:rPr>
          <w:color w:val="2E5A8C"/>
          <w:sz w:val="16"/>
          <w:szCs w:val="16"/>
        </w:rPr>
        <w:t xml:space="preserve">]</w:t>
      </w:r>
      <w:r>
        <w:rPr>
          <w:sz w:val="16"/>
          <w:szCs w:val="16"/>
        </w:rPr>
        <w:t xml:space="preserve"> </w:t>
      </w:r>
      <w:r>
        <w:rPr>
          <w:color w:val="2E5A8C"/>
          <w:sz w:val="16"/>
          <w:szCs w:val="16"/>
        </w:rPr>
        <w:t xml:space="preserve">[</w:t>
      </w:r>
      <w:hyperlink w:history="1" r:id="rIdufrd6_dxqkdhjiqimm9dp">
        <w:r>
          <w:rPr>
            <w:rStyle w:val="Hyperlink"/>
            <w:color w:val="2E5A8C"/>
            <w:sz w:val="16"/>
            <w:szCs w:val="16"/>
            <w:u w:val="single"/>
          </w:rPr>
          <w:t xml:space="preserve">JCM</w:t>
        </w:r>
      </w:hyperlink>
      <w:r>
        <w:rPr>
          <w:color w:val="2E5A8C"/>
          <w:sz w:val="16"/>
          <w:szCs w:val="16"/>
        </w:rPr>
        <w:t xml:space="preserve">]</w:t>
      </w:r>
    </w:p>
    <w:p>
      <w:pPr>
        <w:pStyle w:val="Heading2"/>
        <w:spacing w:after="100" w:before="200"/>
      </w:pPr>
      <w:r>
        <w:rPr>
          <w:b/>
          <w:bCs/>
          <w:color w:val="333333"/>
          <w:sz w:val="24"/>
          <w:szCs w:val="24"/>
        </w:rPr>
        <w:t xml:space="preserve">Theme B — The severity score &amp; impact</w:t>
      </w:r>
    </w:p>
    <w:p>
      <w:pPr>
        <w:spacing w:after="60"/>
      </w:pPr>
      <w:r>
        <w:rPr>
          <w:b/>
          <w:bCs/>
          <w:color w:val="2E5A8C"/>
          <w:sz w:val="20"/>
          <w:szCs w:val="20"/>
        </w:rPr>
        <w:t xml:space="preserve">Q3. </w:t>
      </w:r>
      <w:r>
        <w:rPr>
          <w:sz w:val="20"/>
          <w:szCs w:val="20"/>
        </w:rPr>
        <w:t xml:space="preserve">Lots of tests can suggest bacterial vs. viral. Your differentiator is the third score — a severity score that predicts the likelihood of needing ICU-level care within seven days. What makes that score genuinely first-in-class, and why is predicting deterioration harder than detecting infection?</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Targets the most distinctive feature. Inflammatix describes the severity score as the first to translate host-response biomarkers into a quantitative deterioration risk — it drove the CMS NTAP decision, and an independent validation puts its AUROC at 0.78.</w:t>
      </w:r>
      <w:r>
        <w:rPr>
          <w:sz w:val="16"/>
          <w:szCs w:val="16"/>
        </w:rPr>
        <w:t xml:space="preserve"> </w:t>
      </w:r>
      <w:r>
        <w:rPr>
          <w:color w:val="2E5A8C"/>
          <w:sz w:val="16"/>
          <w:szCs w:val="16"/>
        </w:rPr>
        <w:t xml:space="preserve">[</w:t>
      </w:r>
      <w:hyperlink w:history="1" r:id="rIdxhd91crgay7dkqsi241g5">
        <w:r>
          <w:rPr>
            <w:rStyle w:val="Hyperlink"/>
            <w:color w:val="2E5A8C"/>
            <w:sz w:val="16"/>
            <w:szCs w:val="16"/>
            <w:u w:val="single"/>
          </w:rPr>
          <w:t xml:space="preserve">NTAP PR</w:t>
        </w:r>
      </w:hyperlink>
      <w:r>
        <w:rPr>
          <w:color w:val="2E5A8C"/>
          <w:sz w:val="16"/>
          <w:szCs w:val="16"/>
        </w:rPr>
        <w:t xml:space="preserve">]</w:t>
      </w:r>
      <w:r>
        <w:rPr>
          <w:sz w:val="16"/>
          <w:szCs w:val="16"/>
        </w:rPr>
        <w:t xml:space="preserve"> </w:t>
      </w:r>
      <w:r>
        <w:rPr>
          <w:color w:val="2E5A8C"/>
          <w:sz w:val="16"/>
          <w:szCs w:val="16"/>
        </w:rPr>
        <w:t xml:space="preserve">[</w:t>
      </w:r>
      <w:hyperlink w:history="1" r:id="rIdzhyoq39wudrvpzxdztbjq">
        <w:r>
          <w:rPr>
            <w:rStyle w:val="Hyperlink"/>
            <w:color w:val="2E5A8C"/>
            <w:sz w:val="16"/>
            <w:szCs w:val="16"/>
            <w:u w:val="single"/>
          </w:rPr>
          <w:t xml:space="preserve">Univ. Kentucky</w:t>
        </w:r>
      </w:hyperlink>
      <w:r>
        <w:rPr>
          <w:color w:val="2E5A8C"/>
          <w:sz w:val="16"/>
          <w:szCs w:val="16"/>
        </w:rPr>
        <w:t xml:space="preserve">]</w:t>
      </w:r>
    </w:p>
    <w:p>
      <w:pPr>
        <w:spacing w:after="60"/>
      </w:pPr>
      <w:r>
        <w:rPr>
          <w:b/>
          <w:bCs/>
          <w:color w:val="2E5A8C"/>
          <w:sz w:val="20"/>
          <w:szCs w:val="20"/>
        </w:rPr>
        <w:t xml:space="preserve">Q4. </w:t>
      </w:r>
      <w:r>
        <w:rPr>
          <w:sz w:val="20"/>
          <w:szCs w:val="20"/>
        </w:rPr>
        <w:t xml:space="preserve">You've framed the impact in strikingly concrete terms — that using the test changes management often enough to save roughly one life in ten, and that the acute-care and ICU opportunity is larger than the entire cancer market. Can you unpack how you get to a number like one-in-ten, and how you're sizing that market?</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Puts the two big prep-call framings (1-in-10 lives saved; TAM &gt; all of oncology) on the record as the guest's own claims to substantiate — not asserted by you. Company-stated, not yet public: let them show the math.</w:t>
      </w:r>
    </w:p>
    <w:p>
      <w:pPr>
        <w:spacing w:after="60"/>
      </w:pPr>
      <w:r>
        <w:rPr>
          <w:b/>
          <w:bCs/>
          <w:color w:val="2E5A8C"/>
          <w:sz w:val="20"/>
          <w:szCs w:val="20"/>
        </w:rPr>
        <w:t xml:space="preserve">Q5. </w:t>
      </w:r>
      <w:r>
        <w:rPr>
          <w:sz w:val="20"/>
          <w:szCs w:val="20"/>
        </w:rPr>
        <w:t xml:space="preserve">You've said physician assessment and vital-signs scores underestimate severity in up to half of patients with suspected infection. If TriVerity flags a patient the ED gestalt would have sent home — or vice versa — how do you get clinicians to trust the score over their own judgment?</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Pushes on the real adoption friction: a prognostic score only matters if clinicians act on it. The "underestimate severity in up to half" figure is from the company's own studies cited in the Series E materials.</w:t>
      </w:r>
      <w:r>
        <w:rPr>
          <w:sz w:val="16"/>
          <w:szCs w:val="16"/>
        </w:rPr>
        <w:t xml:space="preserve"> </w:t>
      </w:r>
      <w:r>
        <w:rPr>
          <w:color w:val="2E5A8C"/>
          <w:sz w:val="16"/>
          <w:szCs w:val="16"/>
        </w:rPr>
        <w:t xml:space="preserve">[</w:t>
      </w:r>
      <w:hyperlink w:history="1" r:id="rIduo0mrrjx-jxdcpvuvub7o">
        <w:r>
          <w:rPr>
            <w:rStyle w:val="Hyperlink"/>
            <w:color w:val="2E5A8C"/>
            <w:sz w:val="16"/>
            <w:szCs w:val="16"/>
            <w:u w:val="single"/>
          </w:rPr>
          <w:t xml:space="preserve">Series E PR</w:t>
        </w:r>
      </w:hyperlink>
      <w:r>
        <w:rPr>
          <w:color w:val="2E5A8C"/>
          <w:sz w:val="16"/>
          <w:szCs w:val="16"/>
        </w:rPr>
        <w:t xml:space="preserve">]</w:t>
      </w:r>
    </w:p>
    <w:p>
      <w:pPr>
        <w:pStyle w:val="Heading2"/>
        <w:spacing w:after="100" w:before="200"/>
      </w:pPr>
      <w:r>
        <w:rPr>
          <w:b/>
          <w:bCs/>
          <w:color w:val="333333"/>
          <w:sz w:val="24"/>
          <w:szCs w:val="24"/>
        </w:rPr>
        <w:t xml:space="preserve">Theme C — Evidence</w:t>
      </w:r>
    </w:p>
    <w:p>
      <w:pPr>
        <w:spacing w:after="60"/>
      </w:pPr>
      <w:r>
        <w:rPr>
          <w:b/>
          <w:bCs/>
          <w:color w:val="2E5A8C"/>
          <w:sz w:val="20"/>
          <w:szCs w:val="20"/>
        </w:rPr>
        <w:t xml:space="preserve">Q6. </w:t>
      </w:r>
      <w:r>
        <w:rPr>
          <w:sz w:val="20"/>
          <w:szCs w:val="20"/>
        </w:rPr>
        <w:t xml:space="preserve">SEPSIS-SHIELD ran across 1,222 patients at 22 sites in the US and Europe and anchored three Nature Medicine papers. For this audience, what's the single most important result — and what did TriVerity do that established biomarkers like procalcitonin or lactate couldn't?</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Anchors on the pivotal, peer-reviewed dataset. 360Dx reported TriVerity showed better sensitivity or specificity than established biomarkers. Keep the ask qualitative unless you've confirmed exact band-level figures in the paper itself.</w:t>
      </w:r>
      <w:r>
        <w:rPr>
          <w:sz w:val="16"/>
          <w:szCs w:val="16"/>
        </w:rPr>
        <w:t xml:space="preserve"> </w:t>
      </w:r>
      <w:r>
        <w:rPr>
          <w:color w:val="2E5A8C"/>
          <w:sz w:val="16"/>
          <w:szCs w:val="16"/>
        </w:rPr>
        <w:t xml:space="preserve">[</w:t>
      </w:r>
      <w:hyperlink w:history="1" r:id="rIdczazpmird-r2ywsji7vhu">
        <w:r>
          <w:rPr>
            <w:rStyle w:val="Hyperlink"/>
            <w:color w:val="2E5A8C"/>
            <w:sz w:val="16"/>
            <w:szCs w:val="16"/>
            <w:u w:val="single"/>
          </w:rPr>
          <w:t xml:space="preserve">360Dx</w:t>
        </w:r>
      </w:hyperlink>
      <w:r>
        <w:rPr>
          <w:color w:val="2E5A8C"/>
          <w:sz w:val="16"/>
          <w:szCs w:val="16"/>
        </w:rPr>
        <w:t xml:space="preserve">]</w:t>
      </w:r>
      <w:r>
        <w:rPr>
          <w:sz w:val="16"/>
          <w:szCs w:val="16"/>
        </w:rPr>
        <w:t xml:space="preserve"> </w:t>
      </w:r>
      <w:r>
        <w:rPr>
          <w:color w:val="2E5A8C"/>
          <w:sz w:val="16"/>
          <w:szCs w:val="16"/>
        </w:rPr>
        <w:t xml:space="preserve">[</w:t>
      </w:r>
      <w:hyperlink w:history="1" r:id="rIdzt_vcv2v7_lln9v8vun-s">
        <w:r>
          <w:rPr>
            <w:rStyle w:val="Hyperlink"/>
            <w:color w:val="2E5A8C"/>
            <w:sz w:val="16"/>
            <w:szCs w:val="16"/>
            <w:u w:val="single"/>
          </w:rPr>
          <w:t xml:space="preserve">Nature Med PR</w:t>
        </w:r>
      </w:hyperlink>
      <w:r>
        <w:rPr>
          <w:color w:val="2E5A8C"/>
          <w:sz w:val="16"/>
          <w:szCs w:val="16"/>
        </w:rPr>
        <w:t xml:space="preserve">]</w:t>
      </w:r>
    </w:p>
    <w:p>
      <w:pPr>
        <w:spacing w:after="60"/>
      </w:pPr>
      <w:r>
        <w:rPr>
          <w:b/>
          <w:bCs/>
          <w:color w:val="2E5A8C"/>
          <w:sz w:val="20"/>
          <w:szCs w:val="20"/>
        </w:rPr>
        <w:t xml:space="preserve">Q7. </w:t>
      </w:r>
      <w:r>
        <w:rPr>
          <w:sz w:val="20"/>
          <w:szCs w:val="20"/>
        </w:rPr>
        <w:t xml:space="preserve">Two of your three Nature Medicine papers argue sepsis should be treated as a set of distinct immune states, not a single "septic / not septic" label. That's a challenge to how sepsis is defined and even how it's billed. How much of your job is selling a test versus changing the mental model clinicians and CMS use for sepsis?</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The most intellectually ambitious thread. Sweeney explicitly calls sepsis "a syndrome, not a disease" whose definition keeps changing — a strong, quotable reframing that also has reimbursement implications.</w:t>
      </w:r>
      <w:r>
        <w:rPr>
          <w:sz w:val="16"/>
          <w:szCs w:val="16"/>
        </w:rPr>
        <w:t xml:space="preserve"> </w:t>
      </w:r>
      <w:r>
        <w:rPr>
          <w:color w:val="2E5A8C"/>
          <w:sz w:val="16"/>
          <w:szCs w:val="16"/>
        </w:rPr>
        <w:t xml:space="preserve">[</w:t>
      </w:r>
      <w:hyperlink w:history="1" r:id="rIdzrxitfwhirobgn1s_zfxz">
        <w:r>
          <w:rPr>
            <w:rStyle w:val="Hyperlink"/>
            <w:color w:val="2E5A8C"/>
            <w:sz w:val="16"/>
            <w:szCs w:val="16"/>
            <w:u w:val="single"/>
          </w:rPr>
          <w:t xml:space="preserve">FDA PR</w:t>
        </w:r>
      </w:hyperlink>
      <w:r>
        <w:rPr>
          <w:color w:val="2E5A8C"/>
          <w:sz w:val="16"/>
          <w:szCs w:val="16"/>
        </w:rPr>
        <w:t xml:space="preserve">]</w:t>
      </w:r>
      <w:r>
        <w:rPr>
          <w:sz w:val="16"/>
          <w:szCs w:val="16"/>
        </w:rPr>
        <w:t xml:space="preserve"> </w:t>
      </w:r>
      <w:r>
        <w:rPr>
          <w:color w:val="2E5A8C"/>
          <w:sz w:val="16"/>
          <w:szCs w:val="16"/>
        </w:rPr>
        <w:t xml:space="preserve">[</w:t>
      </w:r>
      <w:hyperlink w:history="1" r:id="rId0smg7g63s-ptsijopqnjx">
        <w:r>
          <w:rPr>
            <w:rStyle w:val="Hyperlink"/>
            <w:color w:val="2E5A8C"/>
            <w:sz w:val="16"/>
            <w:szCs w:val="16"/>
            <w:u w:val="single"/>
          </w:rPr>
          <w:t xml:space="preserve">Nature Med PR</w:t>
        </w:r>
      </w:hyperlink>
      <w:r>
        <w:rPr>
          <w:color w:val="2E5A8C"/>
          <w:sz w:val="16"/>
          <w:szCs w:val="16"/>
        </w:rPr>
        <w:t xml:space="preserve">]</w:t>
      </w:r>
    </w:p>
    <w:p>
      <w:pPr>
        <w:pStyle w:val="Heading2"/>
        <w:spacing w:after="100" w:before="200"/>
      </w:pPr>
      <w:r>
        <w:rPr>
          <w:b/>
          <w:bCs/>
          <w:color w:val="333333"/>
          <w:sz w:val="24"/>
          <w:szCs w:val="24"/>
        </w:rPr>
        <w:t xml:space="preserve">Theme D — Platform beyond sepsis</w:t>
      </w:r>
    </w:p>
    <w:p>
      <w:pPr>
        <w:spacing w:after="60"/>
      </w:pPr>
      <w:r>
        <w:rPr>
          <w:b/>
          <w:bCs/>
          <w:color w:val="2E5A8C"/>
          <w:sz w:val="20"/>
          <w:szCs w:val="20"/>
        </w:rPr>
        <w:t xml:space="preserve">Q8. </w:t>
      </w:r>
      <w:r>
        <w:rPr>
          <w:sz w:val="20"/>
          <w:szCs w:val="20"/>
        </w:rPr>
        <w:t xml:space="preserve">It would be easy to file you under "sepsis test," but your Nature Medicine work on HI-DEF spans ARDS, trauma, and burns, and you describe endotypes and even an Acute MI application in the pipeline. Make the case: is Inflammatix fundamentally an acute-inflammation platform that happens to have started in sepsis?</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This is the framing you specifically want to surface. HI-DEF (7,000+ samples, 37 cohorts) is published and explicitly spans critical illness broadly; the Acute MI product is company-stated (prep call), so let them name it rather than you asserting it.</w:t>
      </w:r>
      <w:r>
        <w:rPr>
          <w:sz w:val="16"/>
          <w:szCs w:val="16"/>
        </w:rPr>
        <w:t xml:space="preserve"> </w:t>
      </w:r>
      <w:r>
        <w:rPr>
          <w:color w:val="2E5A8C"/>
          <w:sz w:val="16"/>
          <w:szCs w:val="16"/>
        </w:rPr>
        <w:t xml:space="preserve">[</w:t>
      </w:r>
      <w:hyperlink w:history="1" r:id="rIddrcnepc5djyhy-jxqhu8p">
        <w:r>
          <w:rPr>
            <w:rStyle w:val="Hyperlink"/>
            <w:color w:val="2E5A8C"/>
            <w:sz w:val="16"/>
            <w:szCs w:val="16"/>
            <w:u w:val="single"/>
          </w:rPr>
          <w:t xml:space="preserve">HI-DEF (Nature Med)</w:t>
        </w:r>
      </w:hyperlink>
      <w:r>
        <w:rPr>
          <w:color w:val="2E5A8C"/>
          <w:sz w:val="16"/>
          <w:szCs w:val="16"/>
        </w:rPr>
        <w:t xml:space="preserve">]</w:t>
      </w:r>
      <w:r>
        <w:rPr>
          <w:sz w:val="16"/>
          <w:szCs w:val="16"/>
        </w:rPr>
        <w:t xml:space="preserve"> </w:t>
      </w:r>
      <w:r>
        <w:rPr>
          <w:color w:val="2E5A8C"/>
          <w:sz w:val="16"/>
          <w:szCs w:val="16"/>
        </w:rPr>
        <w:t xml:space="preserve">[</w:t>
      </w:r>
      <w:hyperlink w:history="1" r:id="rIdgmwq46ckz9zt6_fribzhd">
        <w:r>
          <w:rPr>
            <w:rStyle w:val="Hyperlink"/>
            <w:color w:val="2E5A8C"/>
            <w:sz w:val="16"/>
            <w:szCs w:val="16"/>
            <w:u w:val="single"/>
          </w:rPr>
          <w:t xml:space="preserve">Pipeline</w:t>
        </w:r>
      </w:hyperlink>
      <w:r>
        <w:rPr>
          <w:color w:val="2E5A8C"/>
          <w:sz w:val="16"/>
          <w:szCs w:val="16"/>
        </w:rPr>
        <w:t xml:space="preserve">]</w:t>
      </w:r>
    </w:p>
    <w:p>
      <w:pPr>
        <w:spacing w:after="60"/>
      </w:pPr>
      <w:r>
        <w:rPr>
          <w:b/>
          <w:bCs/>
          <w:color w:val="2E5A8C"/>
          <w:sz w:val="20"/>
          <w:szCs w:val="20"/>
        </w:rPr>
        <w:t xml:space="preserve">Q9. </w:t>
      </w:r>
      <w:r>
        <w:rPr>
          <w:sz w:val="20"/>
          <w:szCs w:val="20"/>
        </w:rPr>
        <w:t xml:space="preserve">Your endotype work suggests you can do more than diagnose — HI-DEF scores tracked differential mortality in patients given immunomodulatory drugs like anakinra and steroids. If you can predict who responds to which therapy, that's a companion-diagnostic business. How real and how near is that, versus a research finding today?</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Pushes on the highest-value long-term story (therapy guidance / immunomodulatory response) while keeping it honest — the RCT-based association is published; productization is earlier. Ties to the two BARDA-funded RCTs the company says are starting later this year (confirm).</w:t>
      </w:r>
      <w:r>
        <w:rPr>
          <w:sz w:val="16"/>
          <w:szCs w:val="16"/>
        </w:rPr>
        <w:t xml:space="preserve"> </w:t>
      </w:r>
      <w:r>
        <w:rPr>
          <w:color w:val="2E5A8C"/>
          <w:sz w:val="16"/>
          <w:szCs w:val="16"/>
        </w:rPr>
        <w:t xml:space="preserve">[</w:t>
      </w:r>
      <w:hyperlink w:history="1" r:id="rIdw8ynybassihpyh63zbzhm">
        <w:r>
          <w:rPr>
            <w:rStyle w:val="Hyperlink"/>
            <w:color w:val="2E5A8C"/>
            <w:sz w:val="16"/>
            <w:szCs w:val="16"/>
            <w:u w:val="single"/>
          </w:rPr>
          <w:t xml:space="preserve">HI-DEF (Nature Med)</w:t>
        </w:r>
      </w:hyperlink>
      <w:r>
        <w:rPr>
          <w:color w:val="2E5A8C"/>
          <w:sz w:val="16"/>
          <w:szCs w:val="16"/>
        </w:rPr>
        <w:t xml:space="preserve">]</w:t>
      </w:r>
      <w:r>
        <w:rPr>
          <w:sz w:val="16"/>
          <w:szCs w:val="16"/>
        </w:rPr>
        <w:t xml:space="preserve"> </w:t>
      </w:r>
      <w:r>
        <w:rPr>
          <w:color w:val="2E5A8C"/>
          <w:sz w:val="16"/>
          <w:szCs w:val="16"/>
        </w:rPr>
        <w:t xml:space="preserve">[</w:t>
      </w:r>
      <w:hyperlink w:history="1" r:id="rId-k3evl2kvbacxuyvq5kio">
        <w:r>
          <w:rPr>
            <w:rStyle w:val="Hyperlink"/>
            <w:color w:val="2E5A8C"/>
            <w:sz w:val="16"/>
            <w:szCs w:val="16"/>
            <w:u w:val="single"/>
          </w:rPr>
          <w:t xml:space="preserve">TIMED PR</w:t>
        </w:r>
      </w:hyperlink>
      <w:r>
        <w:rPr>
          <w:color w:val="2E5A8C"/>
          <w:sz w:val="16"/>
          <w:szCs w:val="16"/>
        </w:rPr>
        <w:t xml:space="preserve">]</w:t>
      </w:r>
    </w:p>
    <w:p>
      <w:pPr>
        <w:pStyle w:val="Heading2"/>
        <w:spacing w:after="100" w:before="200"/>
      </w:pPr>
      <w:r>
        <w:rPr>
          <w:b/>
          <w:bCs/>
          <w:color w:val="333333"/>
          <w:sz w:val="24"/>
          <w:szCs w:val="24"/>
        </w:rPr>
        <w:t xml:space="preserve">Theme E — Economics, growth &amp; vision</w:t>
      </w:r>
    </w:p>
    <w:p>
      <w:pPr>
        <w:spacing w:after="60"/>
      </w:pPr>
      <w:r>
        <w:rPr>
          <w:b/>
          <w:bCs/>
          <w:color w:val="2E5A8C"/>
          <w:sz w:val="20"/>
          <w:szCs w:val="20"/>
        </w:rPr>
        <w:t xml:space="preserve">Q10. </w:t>
      </w:r>
      <w:r>
        <w:rPr>
          <w:sz w:val="20"/>
          <w:szCs w:val="20"/>
        </w:rPr>
        <w:t xml:space="preserve">Transcriptomic testing has a reputation for being expensive and lab-bound, yet you're targeting something like a $15 cost of goods per test at the point of care. How do you get whole-blood, 29-mRNA, sample-to-answer transcriptomics down to that number — and why does that price point matter strategically?</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The unit-economics question you asked for. The $15 COGS is company-stated (prep call), so it's posed as "you're targeting" for them to confirm; the strategic point is that low COGS is what makes population-scale acute-care screening viable.</w:t>
      </w:r>
      <w:r>
        <w:rPr>
          <w:sz w:val="16"/>
          <w:szCs w:val="16"/>
        </w:rPr>
        <w:t xml:space="preserve"> </w:t>
      </w:r>
      <w:r>
        <w:rPr>
          <w:color w:val="2E5A8C"/>
          <w:sz w:val="16"/>
          <w:szCs w:val="16"/>
        </w:rPr>
        <w:t xml:space="preserve">[</w:t>
      </w:r>
      <w:hyperlink w:history="1" r:id="rIdbxv_lvxbithvqt5zhazkv">
        <w:r>
          <w:rPr>
            <w:rStyle w:val="Hyperlink"/>
            <w:color w:val="2E5A8C"/>
            <w:sz w:val="16"/>
            <w:szCs w:val="16"/>
            <w:u w:val="single"/>
          </w:rPr>
          <w:t xml:space="preserve">JCM</w:t>
        </w:r>
      </w:hyperlink>
      <w:r>
        <w:rPr>
          <w:color w:val="2E5A8C"/>
          <w:sz w:val="16"/>
          <w:szCs w:val="16"/>
        </w:rPr>
        <w:t xml:space="preserve">]</w:t>
      </w:r>
    </w:p>
    <w:p>
      <w:pPr>
        <w:spacing w:after="60"/>
      </w:pPr>
      <w:r>
        <w:rPr>
          <w:b/>
          <w:bCs/>
          <w:color w:val="2E5A8C"/>
          <w:sz w:val="20"/>
          <w:szCs w:val="20"/>
        </w:rPr>
        <w:t xml:space="preserve">Q11. </w:t>
      </w:r>
      <w:r>
        <w:rPr>
          <w:sz w:val="20"/>
          <w:szCs w:val="20"/>
        </w:rPr>
        <w:t xml:space="preserve">You're a young company barely a year into commercial life, and you've talked about growing several-fold over the coming year. Where does that confidence come from — is it hospital pull, the reimbursement pieces falling into place, the platform breadth, or all three? What has to be true for that growth to materialize?</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The growth-potential / belief question you asked for. It's framed around the company-stated ~5x / ~35% CMGR without printing those as facts, and it deliberately opens the door for them to argue the platform (not just sepsis) is the growth engine.</w:t>
      </w:r>
      <w:r>
        <w:rPr>
          <w:sz w:val="16"/>
          <w:szCs w:val="16"/>
        </w:rPr>
        <w:t xml:space="preserve"> </w:t>
      </w:r>
      <w:r>
        <w:rPr>
          <w:color w:val="2E5A8C"/>
          <w:sz w:val="16"/>
          <w:szCs w:val="16"/>
        </w:rPr>
        <w:t xml:space="preserve">[</w:t>
      </w:r>
      <w:hyperlink w:history="1" r:id="rIditcvimf-p9qo8awbhbqat">
        <w:r>
          <w:rPr>
            <w:rStyle w:val="Hyperlink"/>
            <w:color w:val="2E5A8C"/>
            <w:sz w:val="16"/>
            <w:szCs w:val="16"/>
            <w:u w:val="single"/>
          </w:rPr>
          <w:t xml:space="preserve">COO PR</w:t>
        </w:r>
      </w:hyperlink>
      <w:r>
        <w:rPr>
          <w:color w:val="2E5A8C"/>
          <w:sz w:val="16"/>
          <w:szCs w:val="16"/>
        </w:rPr>
        <w:t xml:space="preserve">]</w:t>
      </w:r>
      <w:r>
        <w:rPr>
          <w:sz w:val="16"/>
          <w:szCs w:val="16"/>
        </w:rPr>
        <w:t xml:space="preserve"> </w:t>
      </w:r>
      <w:r>
        <w:rPr>
          <w:color w:val="2E5A8C"/>
          <w:sz w:val="16"/>
          <w:szCs w:val="16"/>
        </w:rPr>
        <w:t xml:space="preserve">[</w:t>
      </w:r>
      <w:hyperlink w:history="1" r:id="rIdbbl81lyxgg1mt9cpubebb">
        <w:r>
          <w:rPr>
            <w:rStyle w:val="Hyperlink"/>
            <w:color w:val="2E5A8C"/>
            <w:sz w:val="16"/>
            <w:szCs w:val="16"/>
            <w:u w:val="single"/>
          </w:rPr>
          <w:t xml:space="preserve">NTAP PR</w:t>
        </w:r>
      </w:hyperlink>
      <w:r>
        <w:rPr>
          <w:color w:val="2E5A8C"/>
          <w:sz w:val="16"/>
          <w:szCs w:val="16"/>
        </w:rPr>
        <w:t xml:space="preserve">]</w:t>
      </w:r>
    </w:p>
    <w:p>
      <w:pPr>
        <w:spacing w:after="60"/>
      </w:pPr>
      <w:r>
        <w:rPr>
          <w:b/>
          <w:bCs/>
          <w:color w:val="2E5A8C"/>
          <w:sz w:val="20"/>
          <w:szCs w:val="20"/>
        </w:rPr>
        <w:t xml:space="preserve">Q12. </w:t>
      </w:r>
      <w:r>
        <w:rPr>
          <w:sz w:val="20"/>
          <w:szCs w:val="20"/>
        </w:rPr>
        <w:t xml:space="preserve">You've announced first-adopter hospitals — Alabama, South Carolina — brought in a COO to scale manufacturing, and shipped systems to the U.S. military. A year into commercial life, what's the honest gating factor on going from early adopters to standard-of-care in the ED?</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Grounded in the actual rollout. The COO hire (Jun 2025) was explicitly about scaling production to meet demand — a clean signal of the R&amp;D-to-go-to-market shift.</w:t>
      </w:r>
      <w:r>
        <w:rPr>
          <w:sz w:val="16"/>
          <w:szCs w:val="16"/>
        </w:rPr>
        <w:t xml:space="preserve"> </w:t>
      </w:r>
      <w:r>
        <w:rPr>
          <w:color w:val="2E5A8C"/>
          <w:sz w:val="16"/>
          <w:szCs w:val="16"/>
        </w:rPr>
        <w:t xml:space="preserve">[</w:t>
      </w:r>
      <w:hyperlink w:history="1" r:id="rIdowddpeysnlxxibzooz4pg">
        <w:r>
          <w:rPr>
            <w:rStyle w:val="Hyperlink"/>
            <w:color w:val="2E5A8C"/>
            <w:sz w:val="16"/>
            <w:szCs w:val="16"/>
            <w:u w:val="single"/>
          </w:rPr>
          <w:t xml:space="preserve">COO PR</w:t>
        </w:r>
      </w:hyperlink>
      <w:r>
        <w:rPr>
          <w:color w:val="2E5A8C"/>
          <w:sz w:val="16"/>
          <w:szCs w:val="16"/>
        </w:rPr>
        <w:t xml:space="preserve">]</w:t>
      </w:r>
      <w:r>
        <w:rPr>
          <w:sz w:val="16"/>
          <w:szCs w:val="16"/>
        </w:rPr>
        <w:t xml:space="preserve"> </w:t>
      </w:r>
      <w:r>
        <w:rPr>
          <w:color w:val="2E5A8C"/>
          <w:sz w:val="16"/>
          <w:szCs w:val="16"/>
        </w:rPr>
        <w:t xml:space="preserve">[</w:t>
      </w:r>
      <w:hyperlink w:history="1" r:id="rIdi80ech0qdafvx2qsajnnq">
        <w:r>
          <w:rPr>
            <w:rStyle w:val="Hyperlink"/>
            <w:color w:val="2E5A8C"/>
            <w:sz w:val="16"/>
            <w:szCs w:val="16"/>
            <w:u w:val="single"/>
          </w:rPr>
          <w:t xml:space="preserve">USA Health</w:t>
        </w:r>
      </w:hyperlink>
      <w:r>
        <w:rPr>
          <w:color w:val="2E5A8C"/>
          <w:sz w:val="16"/>
          <w:szCs w:val="16"/>
        </w:rPr>
        <w:t xml:space="preserve">]</w:t>
      </w:r>
      <w:r>
        <w:rPr>
          <w:sz w:val="16"/>
          <w:szCs w:val="16"/>
        </w:rPr>
        <w:t xml:space="preserve"> </w:t>
      </w:r>
      <w:r>
        <w:rPr>
          <w:color w:val="2E5A8C"/>
          <w:sz w:val="16"/>
          <w:szCs w:val="16"/>
        </w:rPr>
        <w:t xml:space="preserve">[</w:t>
      </w:r>
      <w:hyperlink w:history="1" r:id="rIdltb2qjieghecv7pcp3g6a">
        <w:r>
          <w:rPr>
            <w:rStyle w:val="Hyperlink"/>
            <w:color w:val="2E5A8C"/>
            <w:sz w:val="16"/>
            <w:szCs w:val="16"/>
            <w:u w:val="single"/>
          </w:rPr>
          <w:t xml:space="preserve">Military PR</w:t>
        </w:r>
      </w:hyperlink>
      <w:r>
        <w:rPr>
          <w:color w:val="2E5A8C"/>
          <w:sz w:val="16"/>
          <w:szCs w:val="16"/>
        </w:rPr>
        <w:t xml:space="preserve">]</w:t>
      </w:r>
    </w:p>
    <w:p>
      <w:pPr>
        <w:spacing w:after="60"/>
      </w:pPr>
      <w:r>
        <w:rPr>
          <w:b/>
          <w:bCs/>
          <w:color w:val="2E5A8C"/>
          <w:sz w:val="20"/>
          <w:szCs w:val="20"/>
        </w:rPr>
        <w:t xml:space="preserve">Q13. </w:t>
      </w:r>
      <w:r>
        <w:rPr>
          <w:sz w:val="20"/>
          <w:szCs w:val="20"/>
        </w:rPr>
        <w:t xml:space="preserve">Your recent hantavirus collaboration with Nebraska leans on the idea that a host-response test works even when no pathogen-specific test is ready — which sounds like a pandemic-preparedness pitch. Is emerging-threat and biosecurity use a genuine second market for you, or a proof point for the core ED business?</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Draws out platform vision using the freshest news (Jun 2026) plus the military contract, without overstating — both are early-stage evaluations, not revenue lines yet.</w:t>
      </w:r>
      <w:r>
        <w:rPr>
          <w:sz w:val="16"/>
          <w:szCs w:val="16"/>
        </w:rPr>
        <w:t xml:space="preserve"> </w:t>
      </w:r>
      <w:r>
        <w:rPr>
          <w:color w:val="2E5A8C"/>
          <w:sz w:val="16"/>
          <w:szCs w:val="16"/>
        </w:rPr>
        <w:t xml:space="preserve">[</w:t>
      </w:r>
      <w:hyperlink w:history="1" r:id="rIdwqfct2hbd-8msku0p3n3v">
        <w:r>
          <w:rPr>
            <w:rStyle w:val="Hyperlink"/>
            <w:color w:val="2E5A8C"/>
            <w:sz w:val="16"/>
            <w:szCs w:val="16"/>
            <w:u w:val="single"/>
          </w:rPr>
          <w:t xml:space="preserve">Hantavirus PR</w:t>
        </w:r>
      </w:hyperlink>
      <w:r>
        <w:rPr>
          <w:color w:val="2E5A8C"/>
          <w:sz w:val="16"/>
          <w:szCs w:val="16"/>
        </w:rPr>
        <w:t xml:space="preserve">]</w:t>
      </w:r>
      <w:r>
        <w:rPr>
          <w:sz w:val="16"/>
          <w:szCs w:val="16"/>
        </w:rPr>
        <w:t xml:space="preserve"> </w:t>
      </w:r>
      <w:r>
        <w:rPr>
          <w:color w:val="2E5A8C"/>
          <w:sz w:val="16"/>
          <w:szCs w:val="16"/>
        </w:rPr>
        <w:t xml:space="preserve">[</w:t>
      </w:r>
      <w:hyperlink w:history="1" r:id="rId_x9bizjdeqs7c3m1ktzac">
        <w:r>
          <w:rPr>
            <w:rStyle w:val="Hyperlink"/>
            <w:color w:val="2E5A8C"/>
            <w:sz w:val="16"/>
            <w:szCs w:val="16"/>
            <w:u w:val="single"/>
          </w:rPr>
          <w:t xml:space="preserve">Military PR</w:t>
        </w:r>
      </w:hyperlink>
      <w:r>
        <w:rPr>
          <w:color w:val="2E5A8C"/>
          <w:sz w:val="16"/>
          <w:szCs w:val="16"/>
        </w:rPr>
        <w:t xml:space="preserve">]</w:t>
      </w:r>
    </w:p>
    <w:p>
      <w:pPr>
        <w:pStyle w:val="Heading1"/>
        <w:spacing w:after="120" w:before="240"/>
      </w:pPr>
      <w:r>
        <w:rPr>
          <w:b/>
          <w:bCs/>
          <w:color w:val="2E5A8C"/>
          <w:sz w:val="30"/>
          <w:szCs w:val="30"/>
        </w:rPr>
        <w:t xml:space="preserve">Backup questions</w:t>
      </w:r>
    </w:p>
    <w:p>
      <w:pPr>
        <w:spacing w:after="60"/>
      </w:pPr>
      <w:r>
        <w:rPr>
          <w:b/>
          <w:bCs/>
          <w:color w:val="2E5A8C"/>
          <w:sz w:val="20"/>
          <w:szCs w:val="20"/>
        </w:rPr>
        <w:t xml:space="preserve">Q14. </w:t>
      </w:r>
      <w:r>
        <w:rPr>
          <w:sz w:val="20"/>
          <w:szCs w:val="20"/>
        </w:rPr>
        <w:t xml:space="preserve">TriVerity came out of more than a decade of work by you and Purvesh at Stanford. What was the insight that convinced you the immune response — not the pathogen — was the thing worth measuring?</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Origin-story question; warm, and lets the founders explain the foundational bet. Khatri has framed it as thousands of patient profiles over 10+ years.</w:t>
      </w:r>
      <w:r>
        <w:rPr>
          <w:sz w:val="16"/>
          <w:szCs w:val="16"/>
        </w:rPr>
        <w:t xml:space="preserve"> </w:t>
      </w:r>
      <w:r>
        <w:rPr>
          <w:color w:val="2E5A8C"/>
          <w:sz w:val="16"/>
          <w:szCs w:val="16"/>
        </w:rPr>
        <w:t xml:space="preserve">[</w:t>
      </w:r>
      <w:hyperlink w:history="1" r:id="rId6pxffc3zpwoxoxprxfmzg">
        <w:r>
          <w:rPr>
            <w:rStyle w:val="Hyperlink"/>
            <w:color w:val="2E5A8C"/>
            <w:sz w:val="16"/>
            <w:szCs w:val="16"/>
            <w:u w:val="single"/>
          </w:rPr>
          <w:t xml:space="preserve">Managed Healthcare Exec</w:t>
        </w:r>
      </w:hyperlink>
      <w:r>
        <w:rPr>
          <w:color w:val="2E5A8C"/>
          <w:sz w:val="16"/>
          <w:szCs w:val="16"/>
        </w:rPr>
        <w:t xml:space="preserve">]</w:t>
      </w:r>
    </w:p>
    <w:p>
      <w:pPr>
        <w:spacing w:after="60"/>
      </w:pPr>
      <w:r>
        <w:rPr>
          <w:b/>
          <w:bCs/>
          <w:color w:val="2E5A8C"/>
          <w:sz w:val="20"/>
          <w:szCs w:val="20"/>
        </w:rPr>
        <w:t xml:space="preserve">Q15. </w:t>
      </w:r>
      <w:r>
        <w:rPr>
          <w:sz w:val="20"/>
          <w:szCs w:val="20"/>
        </w:rPr>
        <w:t xml:space="preserve">You went the full FDA route and got 510(k) authorization in early 2025 after a 2023 Breakthrough Device designation — only about one in ten Breakthrough devices reaches clearance, and CMS then granted NTAP. What did the full regulatory path, rather than a lab-developed test, change for you commercially?</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A verifiable, favorable milestone that invites reflection on regulatory strategy; pairs FDA clearance with the NTAP win. Note the small date discrepancy across releases (Jan 21 vs Jan 10, 2025) — don't over-precise the day.</w:t>
      </w:r>
      <w:r>
        <w:rPr>
          <w:sz w:val="16"/>
          <w:szCs w:val="16"/>
        </w:rPr>
        <w:t xml:space="preserve"> </w:t>
      </w:r>
      <w:r>
        <w:rPr>
          <w:color w:val="2E5A8C"/>
          <w:sz w:val="16"/>
          <w:szCs w:val="16"/>
        </w:rPr>
        <w:t xml:space="preserve">[</w:t>
      </w:r>
      <w:hyperlink w:history="1" r:id="rIduhygsw6rtwcvmmoevlg_e">
        <w:r>
          <w:rPr>
            <w:rStyle w:val="Hyperlink"/>
            <w:color w:val="2E5A8C"/>
            <w:sz w:val="16"/>
            <w:szCs w:val="16"/>
            <w:u w:val="single"/>
          </w:rPr>
          <w:t xml:space="preserve">FDA PR</w:t>
        </w:r>
      </w:hyperlink>
      <w:r>
        <w:rPr>
          <w:color w:val="2E5A8C"/>
          <w:sz w:val="16"/>
          <w:szCs w:val="16"/>
        </w:rPr>
        <w:t xml:space="preserve">]</w:t>
      </w:r>
      <w:r>
        <w:rPr>
          <w:sz w:val="16"/>
          <w:szCs w:val="16"/>
        </w:rPr>
        <w:t xml:space="preserve"> </w:t>
      </w:r>
      <w:r>
        <w:rPr>
          <w:color w:val="2E5A8C"/>
          <w:sz w:val="16"/>
          <w:szCs w:val="16"/>
        </w:rPr>
        <w:t xml:space="preserve">[</w:t>
      </w:r>
      <w:hyperlink w:history="1" r:id="rIdv_g4b3lmevcr4oaff5lng">
        <w:r>
          <w:rPr>
            <w:rStyle w:val="Hyperlink"/>
            <w:color w:val="2E5A8C"/>
            <w:sz w:val="16"/>
            <w:szCs w:val="16"/>
            <w:u w:val="single"/>
          </w:rPr>
          <w:t xml:space="preserve">NTAP PR</w:t>
        </w:r>
      </w:hyperlink>
      <w:r>
        <w:rPr>
          <w:color w:val="2E5A8C"/>
          <w:sz w:val="16"/>
          <w:szCs w:val="16"/>
        </w:rPr>
        <w:t xml:space="preserve">]</w:t>
      </w:r>
    </w:p>
    <w:p>
      <w:pPr>
        <w:spacing w:after="60"/>
      </w:pPr>
      <w:r>
        <w:rPr>
          <w:b/>
          <w:bCs/>
          <w:color w:val="2E5A8C"/>
          <w:sz w:val="20"/>
          <w:szCs w:val="20"/>
        </w:rPr>
        <w:t xml:space="preserve">Q16. </w:t>
      </w:r>
      <w:r>
        <w:rPr>
          <w:sz w:val="20"/>
          <w:szCs w:val="20"/>
        </w:rPr>
        <w:t xml:space="preserve">The analytical validation showed the test is reproducible across lots and sites and stable for many months at room temperature. Why does that unglamorous robustness data matter as much as the clinical accuracy for something meant to run in any ED at 3 a.m.?</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Rewards technical depth and surfaces a real deployment advantage (point-of-care robustness) that clinical-accuracy headlines skip over.</w:t>
      </w:r>
      <w:r>
        <w:rPr>
          <w:sz w:val="16"/>
          <w:szCs w:val="16"/>
        </w:rPr>
        <w:t xml:space="preserve"> </w:t>
      </w:r>
      <w:r>
        <w:rPr>
          <w:color w:val="2E5A8C"/>
          <w:sz w:val="16"/>
          <w:szCs w:val="16"/>
        </w:rPr>
        <w:t xml:space="preserve">[</w:t>
      </w:r>
      <w:hyperlink w:history="1" r:id="rIdi6ahkadzohswheyi_uli6">
        <w:r>
          <w:rPr>
            <w:rStyle w:val="Hyperlink"/>
            <w:color w:val="2E5A8C"/>
            <w:sz w:val="16"/>
            <w:szCs w:val="16"/>
            <w:u w:val="single"/>
          </w:rPr>
          <w:t xml:space="preserve">JCM</w:t>
        </w:r>
      </w:hyperlink>
      <w:r>
        <w:rPr>
          <w:color w:val="2E5A8C"/>
          <w:sz w:val="16"/>
          <w:szCs w:val="16"/>
        </w:rPr>
        <w:t xml:space="preserve">]</w:t>
      </w:r>
    </w:p>
    <w:p>
      <w:pPr>
        <w:spacing w:after="60"/>
      </w:pPr>
      <w:r>
        <w:rPr>
          <w:b/>
          <w:bCs/>
          <w:color w:val="2E5A8C"/>
          <w:sz w:val="20"/>
          <w:szCs w:val="20"/>
        </w:rPr>
        <w:t xml:space="preserve">Q17. </w:t>
      </w:r>
      <w:r>
        <w:rPr>
          <w:sz w:val="20"/>
          <w:szCs w:val="20"/>
        </w:rPr>
        <w:t xml:space="preserve">You reported strong accuracy in immunocompromised patients — a group where infection is both more dangerous and harder to read. How much of a differentiator is performing well regardless of immune status?</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Built on the verified ACEP24 subgroup data (96%/100%/100% sensitivity in the Very-low bands for IC patients); note the small subgroup so it stays fair.</w:t>
      </w:r>
      <w:r>
        <w:rPr>
          <w:sz w:val="16"/>
          <w:szCs w:val="16"/>
        </w:rPr>
        <w:t xml:space="preserve"> </w:t>
      </w:r>
      <w:r>
        <w:rPr>
          <w:color w:val="2E5A8C"/>
          <w:sz w:val="16"/>
          <w:szCs w:val="16"/>
        </w:rPr>
        <w:t xml:space="preserve">[</w:t>
      </w:r>
      <w:hyperlink w:history="1" r:id="rIdzvejllzizxl_tmdwngbuk">
        <w:r>
          <w:rPr>
            <w:rStyle w:val="Hyperlink"/>
            <w:color w:val="2E5A8C"/>
            <w:sz w:val="16"/>
            <w:szCs w:val="16"/>
            <w:u w:val="single"/>
          </w:rPr>
          <w:t xml:space="preserve">ACEP24</w:t>
        </w:r>
      </w:hyperlink>
      <w:r>
        <w:rPr>
          <w:color w:val="2E5A8C"/>
          <w:sz w:val="16"/>
          <w:szCs w:val="16"/>
        </w:rPr>
        <w:t xml:space="preserve">]</w:t>
      </w:r>
    </w:p>
    <w:p>
      <w:pPr>
        <w:spacing w:after="60"/>
      </w:pPr>
      <w:r>
        <w:rPr>
          <w:b/>
          <w:bCs/>
          <w:color w:val="2E5A8C"/>
          <w:sz w:val="20"/>
          <w:szCs w:val="20"/>
        </w:rPr>
        <w:t xml:space="preserve">Q18. </w:t>
      </w:r>
      <w:r>
        <w:rPr>
          <w:sz w:val="20"/>
          <w:szCs w:val="20"/>
        </w:rPr>
        <w:t xml:space="preserve">You've raised over $200 million in private capital plus more than $50 million in government funding, much of it from BARDA. How has non-dilutive federal money shaped what you were able to build, and does it shape where you take the platform next?</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Concrete and verifiable; the heavy BARDA/government support is distinctive and ties naturally to the biosecurity angle. Use the "&gt;$200M + &gt;$50M grants" framing rather than a single tracker number.</w:t>
      </w:r>
      <w:r>
        <w:rPr>
          <w:sz w:val="16"/>
          <w:szCs w:val="16"/>
        </w:rPr>
        <w:t xml:space="preserve"> </w:t>
      </w:r>
      <w:r>
        <w:rPr>
          <w:color w:val="2E5A8C"/>
          <w:sz w:val="16"/>
          <w:szCs w:val="16"/>
        </w:rPr>
        <w:t xml:space="preserve">[</w:t>
      </w:r>
      <w:hyperlink w:history="1" r:id="rIdeqvfj0k_oma1vyeyfczdo">
        <w:r>
          <w:rPr>
            <w:rStyle w:val="Hyperlink"/>
            <w:color w:val="2E5A8C"/>
            <w:sz w:val="16"/>
            <w:szCs w:val="16"/>
            <w:u w:val="single"/>
          </w:rPr>
          <w:t xml:space="preserve">Series E PR</w:t>
        </w:r>
      </w:hyperlink>
      <w:r>
        <w:rPr>
          <w:color w:val="2E5A8C"/>
          <w:sz w:val="16"/>
          <w:szCs w:val="16"/>
        </w:rPr>
        <w:t xml:space="preserve">]</w:t>
      </w:r>
      <w:r>
        <w:rPr>
          <w:sz w:val="16"/>
          <w:szCs w:val="16"/>
        </w:rPr>
        <w:t xml:space="preserve"> </w:t>
      </w:r>
      <w:r>
        <w:rPr>
          <w:color w:val="2E5A8C"/>
          <w:sz w:val="16"/>
          <w:szCs w:val="16"/>
        </w:rPr>
        <w:t xml:space="preserve">[</w:t>
      </w:r>
      <w:hyperlink w:history="1" r:id="rId1kczp8xlcwxteszgqn75w">
        <w:r>
          <w:rPr>
            <w:rStyle w:val="Hyperlink"/>
            <w:color w:val="2E5A8C"/>
            <w:sz w:val="16"/>
            <w:szCs w:val="16"/>
            <w:u w:val="single"/>
          </w:rPr>
          <w:t xml:space="preserve">MedTech Dive</w:t>
        </w:r>
      </w:hyperlink>
      <w:r>
        <w:rPr>
          <w:color w:val="2E5A8C"/>
          <w:sz w:val="16"/>
          <w:szCs w:val="16"/>
        </w:rPr>
        <w:t xml:space="preserve">]</w:t>
      </w:r>
    </w:p>
    <w:p>
      <w:pPr>
        <w:spacing w:after="60"/>
      </w:pPr>
      <w:r>
        <w:rPr>
          <w:b/>
          <w:bCs/>
          <w:color w:val="2E5A8C"/>
          <w:sz w:val="20"/>
          <w:szCs w:val="20"/>
        </w:rPr>
        <w:t xml:space="preserve">Q19. </w:t>
      </w:r>
      <w:r>
        <w:rPr>
          <w:sz w:val="20"/>
          <w:szCs w:val="20"/>
        </w:rPr>
        <w:t xml:space="preserve">The field has real trust scars — from Theranos to overhyped blood tests generally. You went the peer-reviewed, FDA, Nature Medicine route. How do you win over an ED physician who's been trained to be skeptical of a "revolutionary" blood test?</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Names the elephant in the room; their rigor (pivotal trial, FDA, top-journal publication) is the answer, and it's a fair, credibility-building question.</w:t>
      </w:r>
      <w:r>
        <w:rPr>
          <w:sz w:val="16"/>
          <w:szCs w:val="16"/>
        </w:rPr>
        <w:t xml:space="preserve"> </w:t>
      </w:r>
      <w:r>
        <w:rPr>
          <w:color w:val="2E5A8C"/>
          <w:sz w:val="16"/>
          <w:szCs w:val="16"/>
        </w:rPr>
        <w:t xml:space="preserve">[</w:t>
      </w:r>
      <w:hyperlink w:history="1" r:id="rIdarb3ew246id3nnrkpb5zh">
        <w:r>
          <w:rPr>
            <w:rStyle w:val="Hyperlink"/>
            <w:color w:val="2E5A8C"/>
            <w:sz w:val="16"/>
            <w:szCs w:val="16"/>
            <w:u w:val="single"/>
          </w:rPr>
          <w:t xml:space="preserve">Nature Med PR</w:t>
        </w:r>
      </w:hyperlink>
      <w:r>
        <w:rPr>
          <w:color w:val="2E5A8C"/>
          <w:sz w:val="16"/>
          <w:szCs w:val="16"/>
        </w:rPr>
        <w:t xml:space="preserve">]</w:t>
      </w:r>
      <w:r>
        <w:rPr>
          <w:sz w:val="16"/>
          <w:szCs w:val="16"/>
        </w:rPr>
        <w:t xml:space="preserve"> </w:t>
      </w:r>
      <w:r>
        <w:rPr>
          <w:color w:val="2E5A8C"/>
          <w:sz w:val="16"/>
          <w:szCs w:val="16"/>
        </w:rPr>
        <w:t xml:space="preserve">[</w:t>
      </w:r>
      <w:hyperlink w:history="1" r:id="rIdhjn4eclwcdbusditvh_e7">
        <w:r>
          <w:rPr>
            <w:rStyle w:val="Hyperlink"/>
            <w:color w:val="2E5A8C"/>
            <w:sz w:val="16"/>
            <w:szCs w:val="16"/>
            <w:u w:val="single"/>
          </w:rPr>
          <w:t xml:space="preserve">360Dx</w:t>
        </w:r>
      </w:hyperlink>
      <w:r>
        <w:rPr>
          <w:color w:val="2E5A8C"/>
          <w:sz w:val="16"/>
          <w:szCs w:val="16"/>
        </w:rPr>
        <w:t xml:space="preserve">]</w:t>
      </w:r>
    </w:p>
    <w:p>
      <w:pPr>
        <w:spacing w:after="60"/>
      </w:pPr>
      <w:r>
        <w:rPr>
          <w:b/>
          <w:bCs/>
          <w:color w:val="2E5A8C"/>
          <w:sz w:val="20"/>
          <w:szCs w:val="20"/>
        </w:rPr>
        <w:t xml:space="preserve">Q20. </w:t>
      </w:r>
      <w:r>
        <w:rPr>
          <w:sz w:val="20"/>
          <w:szCs w:val="20"/>
        </w:rPr>
        <w:t xml:space="preserve">Look out five years. If the platform works the way you believe it will, what changes about the first hour a patient with suspected infection — or any acute inflammatory crisis — spends in the ED, and what has to happen for that to become routine?</w:t>
      </w:r>
    </w:p>
    <w:p>
      <w:pPr>
        <w:pBdr>
          <w:left w:val="single" w:color="EAF0F7" w:sz="12" w:space="8"/>
        </w:pBdr>
        <w:spacing w:after="160"/>
        <w:ind w:left="360"/>
      </w:pPr>
      <w:r>
        <w:rPr>
          <w:b/>
          <w:bCs/>
          <w:i/>
          <w:iCs/>
          <w:color w:val="666666"/>
          <w:sz w:val="18"/>
          <w:szCs w:val="18"/>
        </w:rPr>
        <w:t xml:space="preserve">Why ask it: </w:t>
      </w:r>
      <w:r>
        <w:rPr>
          <w:i/>
          <w:iCs/>
          <w:sz w:val="18"/>
          <w:szCs w:val="18"/>
        </w:rPr>
        <w:t xml:space="preserve">Clean, optimistic closer that gives the guest a memorable final word, invites the troponin-for-infection analogy, and nods to the broader acute-inflammation platform.</w:t>
      </w:r>
      <w:r>
        <w:rPr>
          <w:sz w:val="16"/>
          <w:szCs w:val="16"/>
        </w:rPr>
        <w:t xml:space="preserve"> </w:t>
      </w:r>
      <w:r>
        <w:rPr>
          <w:color w:val="2E5A8C"/>
          <w:sz w:val="16"/>
          <w:szCs w:val="16"/>
        </w:rPr>
        <w:t xml:space="preserve">[</w:t>
      </w:r>
      <w:hyperlink w:history="1" r:id="rIdtxldltawoys1jyvgsjlra">
        <w:r>
          <w:rPr>
            <w:rStyle w:val="Hyperlink"/>
            <w:color w:val="2E5A8C"/>
            <w:sz w:val="16"/>
            <w:szCs w:val="16"/>
            <w:u w:val="single"/>
          </w:rPr>
          <w:t xml:space="preserve">FDA PR</w:t>
        </w:r>
      </w:hyperlink>
      <w:r>
        <w:rPr>
          <w:color w:val="2E5A8C"/>
          <w:sz w:val="16"/>
          <w:szCs w:val="16"/>
        </w:rPr>
        <w:t xml:space="preserve">]</w:t>
      </w:r>
    </w:p>
    <w:p>
      <w:pPr>
        <w:pBdr>
          <w:top w:val="single" w:color="2E5A8C" w:sz="6"/>
        </w:pBdr>
        <w:spacing w:after="80" w:before="200"/>
      </w:pPr>
      <w:r>
        <w:rPr>
          <w:b/>
          <w:bCs/>
          <w:color w:val="2E5A8C"/>
          <w:sz w:val="22"/>
          <w:szCs w:val="22"/>
        </w:rPr>
        <w:t xml:space="preserve">Metric verification note</w:t>
      </w:r>
    </w:p>
    <w:p>
      <w:pPr>
        <w:spacing w:after="80" w:before="0"/>
      </w:pPr>
      <w:r>
        <w:rPr>
          <w:sz w:val="18"/>
          <w:szCs w:val="18"/>
        </w:rPr>
        <w:t xml:space="preserve">Public claims embedded in these questions were checked against a primary or regulatory source. Figures from your prep call are flagged as company-stated / not yet public and are phrased as questions, never asserted:</w:t>
      </w:r>
    </w:p>
    <w:p>
      <w:pPr>
        <w:pStyle w:val="ListParagraph"/>
        <w:numPr>
          <w:ilvl w:val="0"/>
          <w:numId w:val="1"/>
        </w:numPr>
        <w:spacing w:after="100"/>
      </w:pPr>
      <w:r>
        <w:rPr>
          <w:sz w:val="18"/>
          <w:szCs w:val="18"/>
        </w:rPr>
        <w:t xml:space="preserve">SEPSIS-SHIELD: 1,222 patients, 22 US/European sites, NCT04094818; three Nature Medicine papers (Sep 30, 2025); "better sensitivity or specificity than established biomarkers" per 360Dx. Severity-score AUROC 0.78 (Univ. of Kentucky validation). Band-level cohort sensitivity/specificity NOT embedded — verify in the paper before quoting.</w:t>
      </w:r>
    </w:p>
    <w:p>
      <w:pPr>
        <w:pStyle w:val="ListParagraph"/>
        <w:numPr>
          <w:ilvl w:val="0"/>
          <w:numId w:val="1"/>
        </w:numPr>
        <w:spacing w:after="100"/>
      </w:pPr>
      <w:r>
        <w:rPr>
          <w:sz w:val="18"/>
          <w:szCs w:val="18"/>
        </w:rPr>
        <w:t xml:space="preserve">Endotypes/platform: HI-DEF from the SUBSPACE consortium, 7,000+ samples across 37 cohorts; myeloid/lymphoid-dysregulated patients 5–7× higher mortality/ICU risk; HI-DEF scores associated with differential mortality on immunomodulatory drugs (anakinra, corticosteroids) across multiple RCTs (Nature Medicine, Sep 2025). Spans sepsis, ARDS, trauma, burns. HostDx Endotypes = 33-mRNA signature.</w:t>
      </w:r>
    </w:p>
    <w:p>
      <w:pPr>
        <w:pStyle w:val="ListParagraph"/>
        <w:numPr>
          <w:ilvl w:val="0"/>
          <w:numId w:val="1"/>
        </w:numPr>
        <w:spacing w:after="100"/>
      </w:pPr>
      <w:r>
        <w:rPr>
          <w:sz w:val="18"/>
          <w:szCs w:val="18"/>
        </w:rPr>
        <w:t xml:space="preserve">ACEP24 IC subgroup: 96% / 100% / 100% (bacterial/viral/severity) sensitivity in the Very-low bands, n=88 — small subgroup, framed as such. Analytical: score SD &lt;5.5, Fleiss kappa 0.915, 9–12 mo stability, method-comparison r 0.91–0.93 (JCM, Sep 2025).</w:t>
      </w:r>
    </w:p>
    <w:p>
      <w:pPr>
        <w:pStyle w:val="ListParagraph"/>
        <w:numPr>
          <w:ilvl w:val="0"/>
          <w:numId w:val="1"/>
        </w:numPr>
        <w:spacing w:after="100"/>
      </w:pPr>
      <w:r>
        <w:rPr>
          <w:sz w:val="18"/>
          <w:szCs w:val="18"/>
        </w:rPr>
        <w:t xml:space="preserve">Regulatory/commercial: 510(k) Jan 2025 (PR: Jan 21; military PR: Jan 10 — noted); Breakthrough Nov 2023; ~10% of Breakthrough devices reach clearance; CMS NTAP FY2026; military JPEO-CBRND $1.2M initial / up to $20.8M options (Mar 2025); TIMED interventional trial initiated Nov 2024.</w:t>
      </w:r>
    </w:p>
    <w:p>
      <w:pPr>
        <w:pStyle w:val="ListParagraph"/>
        <w:numPr>
          <w:ilvl w:val="0"/>
          <w:numId w:val="1"/>
        </w:numPr>
        <w:spacing w:after="100"/>
      </w:pPr>
      <w:r>
        <w:rPr>
          <w:sz w:val="18"/>
          <w:szCs w:val="18"/>
        </w:rPr>
        <w:t xml:space="preserve">Funding: company says &gt;$200M private + &gt;$50M grants; trackers vary ($191M Tracxn, $213M PitchBook). $57M Series E (Sep 2024), Khosla &amp; Think.Health.</w:t>
      </w:r>
    </w:p>
    <w:p>
      <w:pPr>
        <w:pStyle w:val="ListParagraph"/>
        <w:numPr>
          <w:ilvl w:val="0"/>
          <w:numId w:val="1"/>
        </w:numPr>
        <w:spacing w:after="100"/>
      </w:pPr>
      <w:r>
        <w:rPr>
          <w:sz w:val="18"/>
          <w:szCs w:val="18"/>
        </w:rPr>
        <w:t xml:space="preserve">COMPANY-STATED, NOT PUBLIC (from prep call — confirm before quoting): ~1 life saved per 10 tested; ICU/acute-care TAM &gt; all of oncology; ~35% compound monthly growth / ~5x next year; ~$15 cost of goods per test; Acute MI pipeline product; two BARDA-funded RCTs starting later this year. Each is posed as a question inviting the guest to confirm.</w:t>
      </w:r>
    </w:p>
    <w:p>
      <w:pPr>
        <w:spacing w:after="120" w:before="100"/>
      </w:pPr>
      <w:r>
        <w:rPr>
          <w:i/>
          <w:iCs/>
          <w:color w:val="666666"/>
          <w:sz w:val="18"/>
          <w:szCs w:val="18"/>
        </w:rPr>
        <w:t xml:space="preserve">Freshness: reflects public information as of this build (July 2026). Re-check the morning of the call for new adoption/health-economics data and any development beyond the Jun 2026 hantavirus collaboration.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tubl2lxljpvatwrvsk36" Type="http://schemas.openxmlformats.org/officeDocument/2006/relationships/hyperlink" Target="https://www.prnewswire.com/news-releases/inflammatix-receives-fda-clearance-for-first-in-class-triverity-test-302355591.html" TargetMode="External"/><Relationship Id="rIdfn4ejo8uuiwvw76cjx9oo" Type="http://schemas.openxmlformats.org/officeDocument/2006/relationships/hyperlink" Target="https://www.prnewswire.com/news-releases/inflammatix-collaborates-with-university-of-nebraska-medical-center-to-support-rapid-response-to-the-hantavirus-outbreak-using-triverity-302800729.html" TargetMode="External"/><Relationship Id="rIdq2-luwislr6y9_2tjnhv0" Type="http://schemas.openxmlformats.org/officeDocument/2006/relationships/hyperlink" Target="https://www.managedhealthcareexecutive.com/view/fda-approves-triverity-test-that-diagnoses-infections-and-sepsis-faster" TargetMode="External"/><Relationship Id="rIdufrd6_dxqkdhjiqimm9dp" Type="http://schemas.openxmlformats.org/officeDocument/2006/relationships/hyperlink" Target="https://inflammatix.com/inflammatix-data-in-journal-of-clinical-microbiology-validate-accuracy-robustness-and-ease-of-use-of-triverity-test-system/" TargetMode="External"/><Relationship Id="rIdxhd91crgay7dkqsi241g5" Type="http://schemas.openxmlformats.org/officeDocument/2006/relationships/hyperlink" Target="https://www.prnewswire.com/news-releases/inflammatixs-triverity-test-secures-ntap-reimbursement-from-cms-for-first-in-class-severity-score-working-in-concert-with-bacterial-and-viral-insights-302520678.html" TargetMode="External"/><Relationship Id="rIdzhyoq39wudrvpzxdztbjq" Type="http://schemas.openxmlformats.org/officeDocument/2006/relationships/hyperlink" Target="https://scholars.uky.edu/en/publications/clinical-validation-of-an-ai-based-blood-testing-device-for-diagn/" TargetMode="External"/><Relationship Id="rIduo0mrrjx-jxdcpvuvub7o" Type="http://schemas.openxmlformats.org/officeDocument/2006/relationships/hyperlink" Target="https://www.prnewswire.com/news-releases/inflammatix-secures-57-million-to-advance-novel-diagnostic-for-patients-with-suspected-infections-or-sepsis-302245590.html" TargetMode="External"/><Relationship Id="rIdczazpmird-r2ywsji7vhu" Type="http://schemas.openxmlformats.org/officeDocument/2006/relationships/hyperlink" Target="https://www.360dx.com/molecular-diagnostics/inflammatix-sepsis-test-outperformed-established-biomarkers-study-finds" TargetMode="External"/><Relationship Id="rIdzt_vcv2v7_lln9v8vun-s" Type="http://schemas.openxmlformats.org/officeDocument/2006/relationships/hyperlink" Target="https://www.prnewswire.com/news-releases/inflammatix-announces-three-landmark-publications-in-nature-medicine-that-redefine-acute-infection-and-sepsis-diagnosis-and-treatment-302570766.html" TargetMode="External"/><Relationship Id="rIdzrxitfwhirobgn1s_zfxz" Type="http://schemas.openxmlformats.org/officeDocument/2006/relationships/hyperlink" Target="https://www.prnewswire.com/news-releases/inflammatix-receives-fda-clearance-for-first-in-class-triverity-test-302355591.html" TargetMode="External"/><Relationship Id="rId0smg7g63s-ptsijopqnjx" Type="http://schemas.openxmlformats.org/officeDocument/2006/relationships/hyperlink" Target="https://www.prnewswire.com/news-releases/inflammatix-announces-three-landmark-publications-in-nature-medicine-that-redefine-acute-infection-and-sepsis-diagnosis-and-treatment-302570766.html" TargetMode="External"/><Relationship Id="rIddrcnepc5djyhy-jxqhu8p" Type="http://schemas.openxmlformats.org/officeDocument/2006/relationships/hyperlink" Target="https://www.morningstar.com/news/pr-newswire/20250930sf86906/inflammatix-announces-three-landmark-publications-in-nature-medicine-that-redefine-acute-infection-and-sepsis-diagnosis-and-treatment" TargetMode="External"/><Relationship Id="rIdgmwq46ckz9zt6_fribzhd" Type="http://schemas.openxmlformats.org/officeDocument/2006/relationships/hyperlink" Target="https://inflammatix.com/pipeline/" TargetMode="External"/><Relationship Id="rIdw8ynybassihpyh63zbzhm" Type="http://schemas.openxmlformats.org/officeDocument/2006/relationships/hyperlink" Target="https://www.morningstar.com/news/pr-newswire/20250930sf86906/inflammatix-announces-three-landmark-publications-in-nature-medicine-that-redefine-acute-infection-and-sepsis-diagnosis-and-treatment" TargetMode="External"/><Relationship Id="rId-k3evl2kvbacxuyvq5kio" Type="http://schemas.openxmlformats.org/officeDocument/2006/relationships/hyperlink" Target="https://www.prnewswire.com/news-releases/inflammatix-initiates-triverity-for-improved-management-of-emergency-department-patients-with-suspected-infections-timed-trial-302300781.html" TargetMode="External"/><Relationship Id="rIdbxv_lvxbithvqt5zhazkv" Type="http://schemas.openxmlformats.org/officeDocument/2006/relationships/hyperlink" Target="https://inflammatix.com/inflammatix-data-in-journal-of-clinical-microbiology-validate-accuracy-robustness-and-ease-of-use-of-triverity-test-system/" TargetMode="External"/><Relationship Id="rIditcvimf-p9qo8awbhbqat" Type="http://schemas.openxmlformats.org/officeDocument/2006/relationships/hyperlink" Target="https://inflammatix.com/inflammatix-names-martin-vazquez-as-chief-operating-officer-to-drive-national-scale-up-of-triverity-test-system/" TargetMode="External"/><Relationship Id="rIdbbl81lyxgg1mt9cpubebb" Type="http://schemas.openxmlformats.org/officeDocument/2006/relationships/hyperlink" Target="https://www.prnewswire.com/news-releases/inflammatixs-triverity-test-secures-ntap-reimbursement-from-cms-for-first-in-class-severity-score-working-in-concert-with-bacterial-and-viral-insights-302520678.html" TargetMode="External"/><Relationship Id="rIdowddpeysnlxxibzooz4pg" Type="http://schemas.openxmlformats.org/officeDocument/2006/relationships/hyperlink" Target="https://inflammatix.com/inflammatix-names-martin-vazquez-as-chief-operating-officer-to-drive-national-scale-up-of-triverity-test-system/" TargetMode="External"/><Relationship Id="rIdi80ech0qdafvx2qsajnnq" Type="http://schemas.openxmlformats.org/officeDocument/2006/relationships/hyperlink" Target="https://www.usahealthsystem.com/news/uh-sepsis-tool-triverity" TargetMode="External"/><Relationship Id="rIdltb2qjieghecv7pcp3g6a" Type="http://schemas.openxmlformats.org/officeDocument/2006/relationships/hyperlink" Target="https://www.prnewswire.com/news-releases/inflammatix-ships-triverity-test-cartridges-and-myrna-instruments-to-the-us-military-302409649.html" TargetMode="External"/><Relationship Id="rIdwqfct2hbd-8msku0p3n3v" Type="http://schemas.openxmlformats.org/officeDocument/2006/relationships/hyperlink" Target="https://www.prnewswire.com/news-releases/inflammatix-collaborates-with-university-of-nebraska-medical-center-to-support-rapid-response-to-the-hantavirus-outbreak-using-triverity-302800729.html" TargetMode="External"/><Relationship Id="rId_x9bizjdeqs7c3m1ktzac" Type="http://schemas.openxmlformats.org/officeDocument/2006/relationships/hyperlink" Target="https://www.prnewswire.com/news-releases/inflammatix-ships-triverity-test-cartridges-and-myrna-instruments-to-the-us-military-302409649.html" TargetMode="External"/><Relationship Id="rId6pxffc3zpwoxoxprxfmzg" Type="http://schemas.openxmlformats.org/officeDocument/2006/relationships/hyperlink" Target="https://www.managedhealthcareexecutive.com/view/fda-approves-triverity-test-that-diagnoses-infections-and-sepsis-faster" TargetMode="External"/><Relationship Id="rIduhygsw6rtwcvmmoevlg_e" Type="http://schemas.openxmlformats.org/officeDocument/2006/relationships/hyperlink" Target="https://www.prnewswire.com/news-releases/inflammatix-receives-fda-clearance-for-first-in-class-triverity-test-302355591.html" TargetMode="External"/><Relationship Id="rIdv_g4b3lmevcr4oaff5lng" Type="http://schemas.openxmlformats.org/officeDocument/2006/relationships/hyperlink" Target="https://www.prnewswire.com/news-releases/inflammatixs-triverity-test-secures-ntap-reimbursement-from-cms-for-first-in-class-severity-score-working-in-concert-with-bacterial-and-viral-insights-302520678.html" TargetMode="External"/><Relationship Id="rIdi6ahkadzohswheyi_uli6" Type="http://schemas.openxmlformats.org/officeDocument/2006/relationships/hyperlink" Target="https://inflammatix.com/inflammatix-data-in-journal-of-clinical-microbiology-validate-accuracy-robustness-and-ease-of-use-of-triverity-test-system/" TargetMode="External"/><Relationship Id="rIdzvejllzizxl_tmdwngbuk" Type="http://schemas.openxmlformats.org/officeDocument/2006/relationships/hyperlink" Target="https://inflammatix.com/inflammatix-presents-triverity-data-at-acep24/" TargetMode="External"/><Relationship Id="rIdeqvfj0k_oma1vyeyfczdo" Type="http://schemas.openxmlformats.org/officeDocument/2006/relationships/hyperlink" Target="https://www.prnewswire.com/news-releases/inflammatix-secures-57-million-to-advance-novel-diagnostic-for-patients-with-suspected-infections-or-sepsis-302245590.html" TargetMode="External"/><Relationship Id="rId1kczp8xlcwxteszgqn75w" Type="http://schemas.openxmlformats.org/officeDocument/2006/relationships/hyperlink" Target="https://www.medtechdive.com/news/Inflammatix-57M-funding-round-TriVerity-blood-test-acute-infection-sepsis/726975/" TargetMode="External"/><Relationship Id="rIdarb3ew246id3nnrkpb5zh" Type="http://schemas.openxmlformats.org/officeDocument/2006/relationships/hyperlink" Target="https://www.prnewswire.com/news-releases/inflammatix-announces-three-landmark-publications-in-nature-medicine-that-redefine-acute-infection-and-sepsis-diagnosis-and-treatment-302570766.html" TargetMode="External"/><Relationship Id="rIdhjn4eclwcdbusditvh_e7" Type="http://schemas.openxmlformats.org/officeDocument/2006/relationships/hyperlink" Target="https://www.360dx.com/molecular-diagnostics/inflammatix-sepsis-test-outperformed-established-biomarkers-study-finds" TargetMode="External"/><Relationship Id="rIdtxldltawoys1jyvgsjlra" Type="http://schemas.openxmlformats.org/officeDocument/2006/relationships/hyperlink" Target="https://www.prnewswire.com/news-releases/inflammatix-receives-fda-clearance-for-first-in-class-triverity-test-302355591.html"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2026-07-10T17:32:31.619Z</dcterms:created>
  <dcterms:modified xsi:type="dcterms:W3CDTF">2026-07-10T17:32:31.619Z</dcterms:modified>
</cp:coreProperties>
</file>

<file path=docProps/custom.xml><?xml version="1.0" encoding="utf-8"?>
<Properties xmlns="http://schemas.openxmlformats.org/officeDocument/2006/custom-properties" xmlns:vt="http://schemas.openxmlformats.org/officeDocument/2006/docPropsVTypes"/>
</file>