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 Display" w:hAnsi="Aptos Display"/>
          <w:b/>
          <w:color w:val="193E5B"/>
          <w:sz w:val="32"/>
        </w:rPr>
        <w:t>CHINESE IVD VBP MONITORING</w:t>
      </w:r>
    </w:p>
    <w:p>
      <w:pPr>
        <w:spacing w:after="80"/>
      </w:pPr>
      <w:r>
        <w:rPr>
          <w:color w:val="4A5C6C"/>
          <w:sz w:val="20"/>
        </w:rPr>
        <w:t>Distill setup guide — monitor every new announcement, then review for IVD relevance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c>
          <w:tcPr>
            <w:tcW w:type="dxa" w:w="10656"/>
            <w:shd w:fill="EAF2F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b/>
                <w:color w:val="193E5B"/>
              </w:rPr>
              <w:t xml:space="preserve">Recommended approach: </w:t>
            </w:r>
            <w:r>
              <w:t>watch the announcement-title and date list without keyword filters. Distill should alert whenever new text is added; you can then translate and classify the notice.</w:t>
            </w:r>
          </w:p>
        </w:tc>
      </w:tr>
    </w:tbl>
    <w:p>
      <w:pPr>
        <w:spacing w:before="60" w:after="40"/>
      </w:pPr>
      <w:r>
        <w:rPr>
          <w:b/>
          <w:color w:val="193E5B"/>
          <w:sz w:val="22"/>
        </w:rPr>
        <w:t>1  Websites to monitor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3096"/>
        <w:gridCol w:w="1224"/>
        <w:gridCol w:w="6264"/>
      </w:tblGrid>
      <w:tr>
        <w:trPr>
          <w:tblHeader w:val="true"/>
        </w:trPr>
        <w:tc>
          <w:tcPr>
            <w:tcW w:type="dxa" w:w="3096"/>
            <w:shd w:fill="193E5B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widowControl/>
              <w:jc w:val="center"/>
            </w:pPr>
            <w:r>
              <w:rPr>
                <w:b/>
                <w:color w:val="FFFFFF"/>
                <w:sz w:val="18"/>
              </w:rPr>
              <w:t>Monitor name</w:t>
            </w:r>
          </w:p>
        </w:tc>
        <w:tc>
          <w:tcPr>
            <w:tcW w:type="dxa" w:w="1224"/>
            <w:shd w:fill="193E5B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widowControl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6263"/>
            <w:shd w:fill="193E5B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Lines/>
              <w:widowControl/>
              <w:jc w:val="center"/>
            </w:pPr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3096"/>
            <w:tcMar>
              <w:top w:w="48" w:type="dxa"/>
              <w:start w:w="85" w:type="dxa"/>
              <w:bottom w:w="48" w:type="dxa"/>
              <w:end w:w="85" w:type="dxa"/>
            </w:tcMar>
            <w:vAlign w:val="center"/>
          </w:tcPr>
          <w:p>
            <w:pPr>
              <w:keepLines/>
              <w:widowControl/>
              <w:spacing w:after="0" w:line="240" w:lineRule="auto"/>
            </w:pPr>
            <w:r>
              <w:rPr>
                <w:rFonts w:ascii="Aptos" w:hAnsi="Aptos"/>
                <w:b/>
                <w:sz w:val="19"/>
              </w:rPr>
              <w:t>NHSA – Interprovincial Alliance Procurement</w:t>
              <w:br/>
            </w:r>
            <w:hyperlink r:id="rId13">
              <w:r>
                <w:rPr>
                  <w:rFonts w:ascii="Aptos" w:hAnsi="Aptos"/>
                  <w:color w:val="0563C1"/>
                  <w:sz w:val="15"/>
                  <w:szCs w:val="15"/>
                  <w:u w:val="single"/>
                </w:rPr>
                <w:t>https://www.nhsa.gov.cn/view/col/col185/index.html</w:t>
              </w:r>
            </w:hyperlink>
          </w:p>
        </w:tc>
        <w:tc>
          <w:tcPr>
            <w:tcW w:type="dxa" w:w="1224"/>
            <w:tcMar>
              <w:top w:w="48" w:type="dxa"/>
              <w:start w:w="85" w:type="dxa"/>
              <w:bottom w:w="48" w:type="dxa"/>
              <w:end w:w="85" w:type="dxa"/>
            </w:tcMar>
            <w:vAlign w:val="center"/>
          </w:tcPr>
          <w:p>
            <w:pPr>
              <w:keepLines/>
              <w:widowControl/>
              <w:spacing w:after="0"/>
              <w:jc w:val="center"/>
            </w:pPr>
            <w:r>
              <w:rPr>
                <w:sz w:val="17"/>
              </w:rPr>
              <w:t>Core</w:t>
            </w:r>
          </w:p>
        </w:tc>
        <w:tc>
          <w:tcPr>
            <w:tcW w:type="dxa" w:w="6263"/>
            <w:tcMar>
              <w:top w:w="48" w:type="dxa"/>
              <w:start w:w="85" w:type="dxa"/>
              <w:bottom w:w="48" w:type="dxa"/>
              <w:end w:w="85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sz w:val="17"/>
              </w:rPr>
              <w:t>Best central discovery page because it republishes major multi-province procurement notices from lead provinces.</w:t>
            </w:r>
          </w:p>
        </w:tc>
      </w:tr>
      <w:tr>
        <w:tc>
          <w:tcPr>
            <w:tcW w:type="dxa" w:w="3096"/>
            <w:tcMar>
              <w:top w:w="48" w:type="dxa"/>
              <w:start w:w="85" w:type="dxa"/>
              <w:bottom w:w="48" w:type="dxa"/>
              <w:end w:w="85" w:type="dxa"/>
            </w:tcMar>
            <w:vAlign w:val="center"/>
            <w:shd w:fill="F5F7FA"/>
          </w:tcPr>
          <w:p>
            <w:pPr>
              <w:keepLines/>
              <w:widowControl/>
              <w:spacing w:after="0" w:line="240" w:lineRule="auto"/>
            </w:pPr>
            <w:r>
              <w:rPr>
                <w:rFonts w:ascii="Aptos" w:hAnsi="Aptos"/>
                <w:b/>
                <w:sz w:val="19"/>
              </w:rPr>
              <w:t>Anhui – Procurement Announcements</w:t>
              <w:br/>
            </w:r>
            <w:hyperlink r:id="rId14">
              <w:r>
                <w:rPr>
                  <w:rFonts w:ascii="Aptos" w:hAnsi="Aptos"/>
                  <w:color w:val="0563C1"/>
                  <w:sz w:val="15"/>
                  <w:szCs w:val="15"/>
                  <w:u w:val="single"/>
                </w:rPr>
                <w:t>https://www.ahyycg.cn/</w:t>
              </w:r>
            </w:hyperlink>
          </w:p>
        </w:tc>
        <w:tc>
          <w:tcPr>
            <w:tcW w:type="dxa" w:w="1224"/>
            <w:tcMar>
              <w:top w:w="48" w:type="dxa"/>
              <w:start w:w="85" w:type="dxa"/>
              <w:bottom w:w="48" w:type="dxa"/>
              <w:end w:w="85" w:type="dxa"/>
            </w:tcMar>
            <w:vAlign w:val="center"/>
            <w:shd w:fill="F5F7FA"/>
          </w:tcPr>
          <w:p>
            <w:pPr>
              <w:keepLines/>
              <w:widowControl/>
              <w:spacing w:after="0"/>
              <w:jc w:val="center"/>
            </w:pPr>
            <w:r>
              <w:rPr>
                <w:sz w:val="17"/>
              </w:rPr>
              <w:t>Core</w:t>
            </w:r>
          </w:p>
        </w:tc>
        <w:tc>
          <w:tcPr>
            <w:tcW w:type="dxa" w:w="6263"/>
            <w:tcMar>
              <w:top w:w="48" w:type="dxa"/>
              <w:start w:w="85" w:type="dxa"/>
              <w:bottom w:w="48" w:type="dxa"/>
              <w:end w:w="85" w:type="dxa"/>
            </w:tcMar>
            <w:vAlign w:val="center"/>
            <w:shd w:fill="F5F7FA"/>
          </w:tcPr>
          <w:p>
            <w:pPr>
              <w:keepLines/>
              <w:widowControl/>
              <w:spacing w:after="0"/>
            </w:pPr>
            <w:r>
              <w:rPr>
                <w:sz w:val="17"/>
              </w:rPr>
              <w:t>Primary-source site for the major Anhui-led IVD reagent alliance program and its detailed follow-up notices.</w:t>
            </w:r>
          </w:p>
        </w:tc>
      </w:tr>
      <w:tr>
        <w:tc>
          <w:tcPr>
            <w:tcW w:type="dxa" w:w="3096"/>
            <w:tcMar>
              <w:top w:w="48" w:type="dxa"/>
              <w:start w:w="85" w:type="dxa"/>
              <w:bottom w:w="48" w:type="dxa"/>
              <w:end w:w="85" w:type="dxa"/>
            </w:tcMar>
            <w:vAlign w:val="center"/>
          </w:tcPr>
          <w:p>
            <w:pPr>
              <w:keepLines/>
              <w:widowControl/>
              <w:spacing w:after="0" w:line="240" w:lineRule="auto"/>
            </w:pPr>
            <w:r>
              <w:rPr>
                <w:rFonts w:ascii="Aptos" w:hAnsi="Aptos"/>
                <w:b/>
                <w:sz w:val="19"/>
              </w:rPr>
              <w:t>Jiangxi – Procurement Announcements</w:t>
              <w:br/>
            </w:r>
            <w:hyperlink r:id="rId15">
              <w:r>
                <w:rPr>
                  <w:rFonts w:ascii="Aptos" w:hAnsi="Aptos"/>
                  <w:color w:val="0563C1"/>
                  <w:sz w:val="15"/>
                  <w:szCs w:val="15"/>
                  <w:u w:val="single"/>
                </w:rPr>
                <w:t>https://ybj.jiangxi.gov.cn/jxsylbzj/col/col28422/index.html</w:t>
              </w:r>
            </w:hyperlink>
          </w:p>
        </w:tc>
        <w:tc>
          <w:tcPr>
            <w:tcW w:type="dxa" w:w="1224"/>
            <w:tcMar>
              <w:top w:w="48" w:type="dxa"/>
              <w:start w:w="85" w:type="dxa"/>
              <w:bottom w:w="48" w:type="dxa"/>
              <w:end w:w="85" w:type="dxa"/>
            </w:tcMar>
            <w:vAlign w:val="center"/>
          </w:tcPr>
          <w:p>
            <w:pPr>
              <w:keepLines/>
              <w:widowControl/>
              <w:spacing w:after="0"/>
              <w:jc w:val="center"/>
            </w:pPr>
            <w:r>
              <w:rPr>
                <w:sz w:val="17"/>
              </w:rPr>
              <w:t>Optional</w:t>
            </w:r>
          </w:p>
        </w:tc>
        <w:tc>
          <w:tcPr>
            <w:tcW w:type="dxa" w:w="6263"/>
            <w:tcMar>
              <w:top w:w="48" w:type="dxa"/>
              <w:start w:w="85" w:type="dxa"/>
              <w:bottom w:w="48" w:type="dxa"/>
              <w:end w:w="85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sz w:val="17"/>
              </w:rPr>
              <w:t>Adds coverage for biochemical and clinical-chemistry reagent programs that may be led outside Anhui.</w:t>
            </w:r>
          </w:p>
        </w:tc>
      </w:tr>
    </w:tbl>
    <w:p>
      <w:pPr>
        <w:spacing w:before="60" w:after="40"/>
      </w:pPr>
      <w:r>
        <w:rPr>
          <w:b/>
          <w:color w:val="193E5B"/>
          <w:sz w:val="22"/>
        </w:rPr>
        <w:t>2  Distill setup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691"/>
        <w:gridCol w:w="9893"/>
      </w:tblGrid>
      <w:tr>
        <w:tc>
          <w:tcPr>
            <w:tcW w:type="dxa" w:w="691"/>
            <w:shd w:fill="DDEAF3"/>
            <w:tcMar>
              <w:top w:w="55" w:type="dxa"/>
              <w:start w:w="40" w:type="dxa"/>
              <w:bottom w:w="55" w:type="dxa"/>
              <w:end w:w="4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b/>
                <w:color w:val="193E5B"/>
                <w:sz w:val="22"/>
              </w:rPr>
              <w:t>1</w:t>
            </w:r>
          </w:p>
        </w:tc>
        <w:tc>
          <w:tcPr>
            <w:tcW w:type="dxa" w:w="9892"/>
            <w:tcMar>
              <w:top w:w="45" w:type="dxa"/>
              <w:start w:w="85" w:type="dxa"/>
              <w:bottom w:w="38" w:type="dxa"/>
              <w:end w:w="85" w:type="dxa"/>
            </w:tcMar>
          </w:tcPr>
          <w:p>
            <w:pPr>
              <w:keepLines/>
              <w:widowControl/>
              <w:spacing w:after="20"/>
            </w:pPr>
            <w:r>
              <w:rPr>
                <w:b/>
                <w:color w:val="193E5B"/>
                <w:sz w:val="18"/>
              </w:rPr>
              <w:t>Create a free Distill account</w:t>
            </w:r>
            <w:r>
              <w:rPr>
                <w:b/>
                <w:sz w:val="17"/>
              </w:rPr>
              <w:br/>
              <w:t xml:space="preserve">Website: </w:t>
            </w:r>
            <w:hyperlink r:id="rId16">
              <w:r>
                <w:rPr>
                  <w:rFonts w:ascii="Aptos" w:hAnsi="Aptos"/>
                  <w:color w:val="0563C1"/>
                  <w:sz w:val="17"/>
                  <w:szCs w:val="17"/>
                  <w:u w:val="single"/>
                </w:rPr>
                <w:t>https://distill.io/</w:t>
              </w:r>
            </w:hyperlink>
          </w:p>
          <w:p>
            <w:pPr>
              <w:pStyle w:val="GuideBullet"/>
              <w:keepLines/>
              <w:widowControl/>
            </w:pPr>
            <w:r>
              <w:t>Go to Distill, register with your email, verify the account, and sign in.</w:t>
            </w:r>
          </w:p>
          <w:p>
            <w:pPr>
              <w:pStyle w:val="GuideBullet"/>
              <w:keepLines/>
              <w:widowControl/>
            </w:pPr>
            <w:r>
              <w:t>Install the Distill Web Monitor extension in Chrome and pin the droplet icon.</w:t>
            </w:r>
          </w:p>
        </w:tc>
      </w:tr>
      <w:tr>
        <w:tc>
          <w:tcPr>
            <w:tcW w:type="dxa" w:w="691"/>
            <w:shd w:fill="DDEAF3"/>
            <w:tcMar>
              <w:top w:w="55" w:type="dxa"/>
              <w:start w:w="40" w:type="dxa"/>
              <w:bottom w:w="55" w:type="dxa"/>
              <w:end w:w="4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b/>
                <w:color w:val="193E5B"/>
                <w:sz w:val="22"/>
              </w:rPr>
              <w:t>2</w:t>
            </w:r>
          </w:p>
        </w:tc>
        <w:tc>
          <w:tcPr>
            <w:tcW w:type="dxa" w:w="9892"/>
            <w:tcMar>
              <w:top w:w="45" w:type="dxa"/>
              <w:start w:w="85" w:type="dxa"/>
              <w:bottom w:w="38" w:type="dxa"/>
              <w:end w:w="85" w:type="dxa"/>
            </w:tcMar>
          </w:tcPr>
          <w:p>
            <w:pPr>
              <w:keepLines/>
              <w:widowControl/>
              <w:spacing w:after="20"/>
            </w:pPr>
            <w:r>
              <w:rPr>
                <w:b/>
                <w:color w:val="193E5B"/>
                <w:sz w:val="18"/>
              </w:rPr>
              <w:t>Open the correct announcement page</w:t>
            </w:r>
          </w:p>
          <w:p>
            <w:pPr>
              <w:pStyle w:val="GuideBullet"/>
              <w:keepLines/>
              <w:widowControl/>
            </w:pPr>
            <w:r>
              <w:t>Use the actual listing page that shows notice titles and publication dates—not the agency homepage.</w:t>
            </w:r>
          </w:p>
          <w:p>
            <w:pPr>
              <w:pStyle w:val="GuideBullet"/>
              <w:keepLines/>
              <w:widowControl/>
            </w:pPr>
            <w:r>
              <w:t>For NHSA, use the Interprovincial Alliance Procurement listing; for Anhui and Jiangxi, use the relevant procurement-notice listing.</w:t>
            </w:r>
          </w:p>
        </w:tc>
      </w:tr>
      <w:tr>
        <w:tc>
          <w:tcPr>
            <w:tcW w:type="dxa" w:w="691"/>
            <w:shd w:fill="DDEAF3"/>
            <w:tcMar>
              <w:top w:w="55" w:type="dxa"/>
              <w:start w:w="40" w:type="dxa"/>
              <w:bottom w:w="55" w:type="dxa"/>
              <w:end w:w="4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b/>
                <w:color w:val="193E5B"/>
                <w:sz w:val="22"/>
              </w:rPr>
              <w:t>3</w:t>
            </w:r>
          </w:p>
        </w:tc>
        <w:tc>
          <w:tcPr>
            <w:tcW w:type="dxa" w:w="9892"/>
            <w:tcMar>
              <w:top w:w="45" w:type="dxa"/>
              <w:start w:w="85" w:type="dxa"/>
              <w:bottom w:w="38" w:type="dxa"/>
              <w:end w:w="85" w:type="dxa"/>
            </w:tcMar>
          </w:tcPr>
          <w:p>
            <w:pPr>
              <w:keepLines/>
              <w:widowControl/>
              <w:spacing w:after="20"/>
            </w:pPr>
            <w:r>
              <w:rPr>
                <w:b/>
                <w:color w:val="193E5B"/>
                <w:sz w:val="18"/>
              </w:rPr>
              <w:t>Select only the notice list</w:t>
            </w:r>
          </w:p>
          <w:p>
            <w:pPr>
              <w:pStyle w:val="GuideBullet"/>
              <w:keepLines/>
              <w:widowControl/>
            </w:pPr>
            <w:r>
              <w:t>Click the Distill icon → Monitor parts of page.</w:t>
            </w:r>
          </w:p>
          <w:p>
            <w:pPr>
              <w:pStyle w:val="GuideBullet"/>
              <w:keepLines/>
              <w:widowControl/>
            </w:pPr>
            <w:r>
              <w:t>Highlight the block containing announcement titles, dates, and links. Exclude banners, clocks, visitor counters, navigation menus, and rotating content.</w:t>
            </w:r>
          </w:p>
        </w:tc>
      </w:tr>
      <w:tr>
        <w:tc>
          <w:tcPr>
            <w:tcW w:type="dxa" w:w="691"/>
            <w:shd w:fill="DDEAF3"/>
            <w:tcMar>
              <w:top w:w="55" w:type="dxa"/>
              <w:start w:w="40" w:type="dxa"/>
              <w:bottom w:w="55" w:type="dxa"/>
              <w:end w:w="4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b/>
                <w:color w:val="193E5B"/>
                <w:sz w:val="22"/>
              </w:rPr>
              <w:t>4</w:t>
            </w:r>
          </w:p>
        </w:tc>
        <w:tc>
          <w:tcPr>
            <w:tcW w:type="dxa" w:w="9892"/>
            <w:tcMar>
              <w:top w:w="45" w:type="dxa"/>
              <w:start w:w="85" w:type="dxa"/>
              <w:bottom w:w="38" w:type="dxa"/>
              <w:end w:w="85" w:type="dxa"/>
            </w:tcMar>
          </w:tcPr>
          <w:p>
            <w:pPr>
              <w:keepLines/>
              <w:widowControl/>
              <w:spacing w:after="20"/>
            </w:pPr>
            <w:r>
              <w:rPr>
                <w:b/>
                <w:color w:val="193E5B"/>
                <w:sz w:val="18"/>
              </w:rPr>
              <w:t>Configure the monitor</w:t>
            </w:r>
          </w:p>
          <w:p>
            <w:pPr>
              <w:pStyle w:val="GuideBullet"/>
              <w:keepLines/>
              <w:widowControl/>
            </w:pPr>
            <w:r>
              <w:t>Name it clearly, such as “NHSA – Alliance Procurement” or “Anhui – IVD VBP.”</w:t>
            </w:r>
          </w:p>
          <w:p>
            <w:pPr>
              <w:pStyle w:val="GuideBullet"/>
              <w:keepLines/>
              <w:widowControl/>
            </w:pPr>
            <w:r>
              <w:t>Choose your Chrome browser/local device and check every 2–4 hours while the browser is open.</w:t>
            </w:r>
          </w:p>
          <w:p>
            <w:pPr>
              <w:pStyle w:val="GuideBullet"/>
              <w:keepLines/>
              <w:widowControl/>
            </w:pPr>
            <w:r>
              <w:t>Add an email alert action using your verified address.</w:t>
            </w:r>
          </w:p>
        </w:tc>
      </w:tr>
      <w:tr>
        <w:tc>
          <w:tcPr>
            <w:tcW w:type="dxa" w:w="691"/>
            <w:shd w:fill="DDEAF3"/>
            <w:tcMar>
              <w:top w:w="55" w:type="dxa"/>
              <w:start w:w="40" w:type="dxa"/>
              <w:bottom w:w="55" w:type="dxa"/>
              <w:end w:w="4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b/>
                <w:color w:val="193E5B"/>
                <w:sz w:val="22"/>
              </w:rPr>
              <w:t>5</w:t>
            </w:r>
          </w:p>
        </w:tc>
        <w:tc>
          <w:tcPr>
            <w:tcW w:type="dxa" w:w="9892"/>
            <w:tcMar>
              <w:top w:w="45" w:type="dxa"/>
              <w:start w:w="85" w:type="dxa"/>
              <w:bottom w:w="38" w:type="dxa"/>
              <w:end w:w="85" w:type="dxa"/>
            </w:tcMar>
          </w:tcPr>
          <w:p>
            <w:pPr>
              <w:keepLines/>
              <w:widowControl/>
              <w:spacing w:after="20"/>
            </w:pPr>
            <w:r>
              <w:rPr>
                <w:b/>
                <w:color w:val="193E5B"/>
                <w:sz w:val="18"/>
              </w:rPr>
              <w:t>Do not add keyword filters</w:t>
            </w:r>
          </w:p>
          <w:p>
            <w:pPr>
              <w:pStyle w:val="GuideBullet"/>
              <w:keepLines/>
              <w:widowControl/>
            </w:pPr>
            <w:r>
              <w:t>Leave keyword conditions blank so every newly posted announcement is captured—even when the title does not use expected IVD terminology.</w:t>
            </w:r>
          </w:p>
          <w:p>
            <w:pPr>
              <w:pStyle w:val="GuideBullet"/>
              <w:keepLines/>
              <w:widowControl/>
            </w:pPr>
            <w:r>
              <w:t>Optional after testing: set “Net Added Text is not empty” to focus on genuinely added text rather than page reordering.</w:t>
            </w:r>
          </w:p>
        </w:tc>
      </w:tr>
      <w:tr>
        <w:tc>
          <w:tcPr>
            <w:tcW w:type="dxa" w:w="691"/>
            <w:shd w:fill="DDEAF3"/>
            <w:tcMar>
              <w:top w:w="55" w:type="dxa"/>
              <w:start w:w="40" w:type="dxa"/>
              <w:bottom w:w="55" w:type="dxa"/>
              <w:end w:w="4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b/>
                <w:color w:val="193E5B"/>
                <w:sz w:val="22"/>
              </w:rPr>
              <w:t>6</w:t>
            </w:r>
          </w:p>
        </w:tc>
        <w:tc>
          <w:tcPr>
            <w:tcW w:type="dxa" w:w="9892"/>
            <w:tcMar>
              <w:top w:w="45" w:type="dxa"/>
              <w:start w:w="85" w:type="dxa"/>
              <w:bottom w:w="38" w:type="dxa"/>
              <w:end w:w="85" w:type="dxa"/>
            </w:tcMar>
          </w:tcPr>
          <w:p>
            <w:pPr>
              <w:keepLines/>
              <w:widowControl/>
              <w:spacing w:after="20"/>
            </w:pPr>
            <w:r>
              <w:rPr>
                <w:b/>
                <w:color w:val="193E5B"/>
                <w:sz w:val="18"/>
              </w:rPr>
              <w:t>Save, test, and repeat</w:t>
            </w:r>
          </w:p>
          <w:p>
            <w:pPr>
              <w:pStyle w:val="GuideBullet"/>
              <w:keepLines/>
              <w:widowControl/>
            </w:pPr>
            <w:r>
              <w:t>Save the monitor and confirm it appears as ON in the Watchlist.</w:t>
            </w:r>
          </w:p>
          <w:p>
            <w:pPr>
              <w:pStyle w:val="GuideBullet"/>
              <w:keepLines/>
              <w:widowControl/>
            </w:pPr>
            <w:r>
              <w:t>Run a manual check and confirm the page loads without an error. Repeat for the other sites.</w:t>
            </w:r>
          </w:p>
          <w:p>
            <w:pPr>
              <w:pStyle w:val="GuideBullet"/>
              <w:keepLines/>
              <w:widowControl/>
            </w:pPr>
            <w:r>
              <w:t>When an alert arrives, translate the title and determine whether it relates to IVD, reagents, instruments, procurement rules, proposed winners, or final results.</w:t>
            </w:r>
          </w:p>
        </w:tc>
      </w:tr>
    </w:tbl>
    <w:p>
      <w:pPr>
        <w:spacing w:before="60" w:after="40"/>
      </w:pPr>
      <w:r>
        <w:rPr>
          <w:b/>
          <w:color w:val="193E5B"/>
          <w:sz w:val="22"/>
        </w:rPr>
        <w:t>3  Final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3528"/>
        <w:gridCol w:w="3528"/>
        <w:gridCol w:w="3528"/>
      </w:tblGrid>
      <w:tr>
        <w:tc>
          <w:tcPr>
            <w:tcW w:type="dxa" w:w="3528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keepLines/>
              <w:widowControl/>
              <w:spacing w:after="0"/>
            </w:pPr>
            <w:r>
              <w:rPr>
                <w:sz w:val="17"/>
              </w:rPr>
              <w:t>☐ Monitor status is ON and the latest-check time updates.</w:t>
            </w:r>
          </w:p>
        </w:tc>
        <w:tc>
          <w:tcPr>
            <w:tcW w:type="dxa" w:w="3528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keepLines/>
              <w:widowControl/>
              <w:spacing w:after="0"/>
            </w:pPr>
            <w:r>
              <w:rPr>
                <w:sz w:val="17"/>
              </w:rPr>
              <w:t>☐ Email alert is attached and a manual test succeeds.</w:t>
            </w:r>
          </w:p>
        </w:tc>
        <w:tc>
          <w:tcPr>
            <w:tcW w:type="dxa" w:w="3528"/>
            <w:tcMar>
              <w:top w:w="60" w:type="dxa"/>
              <w:start w:w="80" w:type="dxa"/>
              <w:bottom w:w="60" w:type="dxa"/>
              <w:end w:w="80" w:type="dxa"/>
            </w:tcMar>
            <w:shd w:fill="F5F7FA"/>
          </w:tcPr>
          <w:p>
            <w:pPr>
              <w:keepLines/>
              <w:widowControl/>
              <w:spacing w:after="0"/>
            </w:pPr>
            <w:r>
              <w:rPr>
                <w:sz w:val="17"/>
              </w:rPr>
              <w:t>☐ Selected area contains only titles, dates, and notice links.</w:t>
            </w:r>
          </w:p>
        </w:tc>
      </w:tr>
    </w:tbl>
    <w:p>
      <w:pPr>
        <w:spacing w:before="80" w:after="0"/>
        <w:jc w:val="center"/>
      </w:pPr>
      <w:r>
        <w:rPr>
          <w:b/>
          <w:sz w:val="17"/>
        </w:rPr>
        <w:t xml:space="preserve">Direct sites: </w:t>
      </w:r>
      <w:hyperlink r:id="rId13">
        <w:r>
          <w:rPr>
            <w:rFonts w:ascii="Aptos" w:hAnsi="Aptos"/>
            <w:color w:val="0563C1"/>
            <w:sz w:val="17"/>
            <w:szCs w:val="17"/>
            <w:u w:val="single"/>
          </w:rPr>
          <w:t>NHSA</w:t>
        </w:r>
      </w:hyperlink>
      <w:r>
        <w:t xml:space="preserve">  |  </w:t>
      </w:r>
      <w:hyperlink r:id="rId14">
        <w:r>
          <w:rPr>
            <w:rFonts w:ascii="Aptos" w:hAnsi="Aptos"/>
            <w:color w:val="0563C1"/>
            <w:sz w:val="17"/>
            <w:szCs w:val="17"/>
            <w:u w:val="single"/>
          </w:rPr>
          <w:t>Anhui</w:t>
        </w:r>
      </w:hyperlink>
      <w:r>
        <w:t xml:space="preserve">  |  </w:t>
      </w:r>
      <w:hyperlink r:id="rId15">
        <w:r>
          <w:rPr>
            <w:rFonts w:ascii="Aptos" w:hAnsi="Aptos"/>
            <w:color w:val="0563C1"/>
            <w:sz w:val="17"/>
            <w:szCs w:val="17"/>
            <w:u w:val="single"/>
          </w:rPr>
          <w:t>Jiangxi</w:t>
        </w:r>
      </w:hyperlink>
      <w:r>
        <w:t xml:space="preserve">  |  </w:t>
      </w:r>
      <w:hyperlink r:id="rId16">
        <w:r>
          <w:rPr>
            <w:rFonts w:ascii="Aptos" w:hAnsi="Aptos"/>
            <w:color w:val="0563C1"/>
            <w:sz w:val="17"/>
            <w:szCs w:val="17"/>
            <w:u w:val="single"/>
          </w:rPr>
          <w:t>Distill</w:t>
        </w:r>
      </w:hyperlink>
    </w:p>
    <w:sectPr w:rsidR="00FC693F" w:rsidRPr="0006063C" w:rsidSect="00034616">
      <w:footerReference w:type="default" r:id="rId12"/>
      <w:pgSz w:w="12240" w:h="15840"/>
      <w:pgMar w:top="547" w:right="792" w:bottom="49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7882"/>
        <w:sz w:val="16"/>
      </w:rPr>
      <w:t>Updated July 24, 2026  •  Chinese IVD VBP monitoring workflow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Bullet">
    <w:name w:val="Guide Bullet"/>
    <w:pPr>
      <w:numPr>
        <w:ilvl w:val="0"/>
        <w:numId w:val="1"/>
      </w:numPr>
      <w:spacing w:after="12" w:line="240" w:lineRule="auto"/>
      <w:ind w:left="259" w:hanging="173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istill.io/docs/web-monitor/distill-chrome-extension/" TargetMode="External"/><Relationship Id="rId10" Type="http://schemas.openxmlformats.org/officeDocument/2006/relationships/hyperlink" Target="https://distill.io/docs/web-monitor/get-email-alert-on-webpage-change/" TargetMode="External"/><Relationship Id="rId11" Type="http://schemas.openxmlformats.org/officeDocument/2006/relationships/hyperlink" Target="https://distill.io/docs/web-monitor/using-conditions-to-get-alert-on-important-changes/" TargetMode="External"/><Relationship Id="rId12" Type="http://schemas.openxmlformats.org/officeDocument/2006/relationships/footer" Target="footer1.xml"/><Relationship Id="rId13" Type="http://schemas.openxmlformats.org/officeDocument/2006/relationships/hyperlink" Target="https://www.nhsa.gov.cn/view/col/col185/index.html" TargetMode="External"/><Relationship Id="rId14" Type="http://schemas.openxmlformats.org/officeDocument/2006/relationships/hyperlink" Target="https://www.ahyycg.cn/" TargetMode="External"/><Relationship Id="rId15" Type="http://schemas.openxmlformats.org/officeDocument/2006/relationships/hyperlink" Target="https://ybj.jiangxi.gov.cn/jxsylbzj/col/col28422/index.html" TargetMode="External"/><Relationship Id="rId16" Type="http://schemas.openxmlformats.org/officeDocument/2006/relationships/hyperlink" Target="https://distill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Chinese IVD VBP Monitoring – Distill Setup Guide</dc:title>
  <dc:subject>Instructions for monitoring NHSA, Anhui, and Jiangxi procurement announcement pages without keyword filters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