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60"/>
        </w:rPr>
        <w:t>BUUPP</w:t>
      </w:r>
    </w:p>
    <w:p>
      <w:pPr>
        <w:jc w:val="center"/>
      </w:pPr>
      <w:r>
        <w:rPr>
          <w:sz w:val="32"/>
        </w:rPr>
        <w:t>Analyse d'impact relative à la protection des données (AIPD)</w:t>
      </w:r>
    </w:p>
    <w:p>
      <w:pPr>
        <w:jc w:val="center"/>
      </w:pPr>
      <w:r>
        <w:rPr>
          <w:i/>
          <w:color w:val="475565"/>
          <w:sz w:val="22"/>
        </w:rPr>
        <w:t>Traitement : mise en relation rémunérée avec scoring et segmentation — art. 35 RGPD</w:t>
      </w:r>
    </w:p>
    <w:p/>
    <w:p>
      <w:pPr>
        <w:jc w:val="center"/>
      </w:pPr>
      <w:r>
        <w:rPr>
          <w:b/>
        </w:rPr>
        <w:t xml:space="preserve">Responsable de traitement : </w:t>
      </w:r>
      <w:r>
        <w:t>Majelink (éditeur de la plateforme BUUPP) — RCS Pau 892 514 167 — 12 Impasse des Étriers, 64140 Lons</w:t>
        <w:br/>
      </w:r>
      <w:r>
        <w:t>Chargé à la protection des données : dp.buupp@buupp.com</w:t>
        <w:br/>
      </w:r>
      <w:r>
        <w:t>Version : 14/06/2026</w:t>
      </w:r>
    </w:p>
    <w:p>
      <w:r>
        <w:rPr>
          <w:i/>
          <w:color w:val="B45309"/>
          <w:sz w:val="17"/>
        </w:rPr>
        <w:t>Document de travail ancré sur le système en production (politique de confidentialité publiée, base de données, code source). Les arbitrages juridiques (bases légales, durées, désignation du DPO) doivent être validés par le DPO / le conseil juridique. Les champs marqués « [À COMPLÉTER] » requièrent une décision du responsable de traitement. Ce document ne constitue pas un avis juridique.</w:t>
      </w:r>
    </w:p>
    <w:p>
      <w:r>
        <w:br w:type="page"/>
      </w:r>
    </w:p>
    <w:p>
      <w:pPr>
        <w:pStyle w:val="Heading1"/>
      </w:pPr>
      <w:r>
        <w:rPr>
          <w:color w:val="4F46E5"/>
        </w:rPr>
        <w:t>1. Faut-il une AIPD ? (critères CNIL / WP248)</w:t>
      </w:r>
    </w:p>
    <w:p>
      <w:r>
        <w:rPr>
          <w:b w:val="0"/>
          <w:i w:val="0"/>
        </w:rPr>
        <w:t>Une AIPD est requise en cas de risque élevé probable. Le traitement central de BUUPP remplit plusieurs des 9 critères du CEPD (WP248) — deux suffisent :</w:t>
      </w:r>
    </w:p>
    <w:p>
      <w:pPr>
        <w:pStyle w:val="ListBullet"/>
      </w:pPr>
      <w:r>
        <w:rPr>
          <w:b/>
        </w:rPr>
        <w:t xml:space="preserve">✔ </w:t>
      </w:r>
      <w:r>
        <w:t>Évaluation / scoring : calcul du BUUPP Score.</w:t>
      </w:r>
    </w:p>
    <w:p>
      <w:pPr>
        <w:pStyle w:val="ListBullet"/>
      </w:pPr>
      <w:r>
        <w:rPr>
          <w:b/>
        </w:rPr>
        <w:t xml:space="preserve">✔ </w:t>
      </w:r>
      <w:r>
        <w:t>Croisement de données : segmentation multi-facettes (revenus, patrimoine, localisation, foyer…).</w:t>
      </w:r>
    </w:p>
    <w:p>
      <w:pPr>
        <w:pStyle w:val="ListBullet"/>
      </w:pPr>
      <w:r>
        <w:rPr>
          <w:b/>
        </w:rPr>
        <w:t xml:space="preserve">✔ </w:t>
      </w:r>
      <w:r>
        <w:t>Données hautement personnelles : revenus, patrimoine, projets, IBAN.</w:t>
      </w:r>
    </w:p>
    <w:p>
      <w:pPr>
        <w:pStyle w:val="ListBullet"/>
      </w:pPr>
      <w:r>
        <w:rPr>
          <w:b/>
        </w:rPr>
        <w:t xml:space="preserve">✔ </w:t>
      </w:r>
      <w:r>
        <w:t>Usage innovant : rémunération de la donnée à double consentement.</w:t>
      </w:r>
    </w:p>
    <w:p>
      <w:pPr>
        <w:pStyle w:val="ListBullet"/>
      </w:pPr>
      <w:r>
        <w:rPr>
          <w:b/>
        </w:rPr>
        <w:t xml:space="preserve">✔ </w:t>
      </w:r>
      <w:r>
        <w:t>Suivi systématique : journalisation des accès et des sollicitations.</w:t>
      </w:r>
    </w:p>
    <w:p>
      <w:r>
        <w:rPr>
          <w:b w:val="0"/>
          <w:i w:val="0"/>
        </w:rPr>
        <w:t>Conclusion : AIPD requise. Le volet paiement fait l'objet d'une AIPD dédiée.</w:t>
      </w:r>
    </w:p>
    <w:p>
      <w:pPr>
        <w:pStyle w:val="Heading1"/>
      </w:pPr>
      <w:r>
        <w:rPr>
          <w:color w:val="4F46E5"/>
        </w:rPr>
        <w:t>2. Description du traitement</w:t>
      </w:r>
    </w:p>
    <w:p>
      <w:pPr>
        <w:pStyle w:val="ListBullet"/>
      </w:pPr>
      <w:r>
        <w:rPr>
          <w:b/>
        </w:rPr>
        <w:t xml:space="preserve">Finalités : </w:t>
      </w:r>
      <w:r>
        <w:t>mettre en relation des prospects consentants et des professionnels, en valorisant/segmentant les profils, avec rémunération du prospect.</w:t>
      </w:r>
    </w:p>
    <w:p>
      <w:pPr>
        <w:pStyle w:val="ListBullet"/>
      </w:pPr>
      <w:r>
        <w:rPr>
          <w:b/>
        </w:rPr>
        <w:t xml:space="preserve">Données : </w:t>
      </w:r>
      <w:r>
        <w:t>identité (palier 1), profil enrichi (paliers 2-5 dont revenus/patrimoine), score dérivé, données de relation.</w:t>
      </w:r>
    </w:p>
    <w:p>
      <w:pPr>
        <w:pStyle w:val="ListBullet"/>
      </w:pPr>
      <w:r>
        <w:rPr>
          <w:b/>
        </w:rPr>
        <w:t xml:space="preserve">Acteurs : </w:t>
      </w:r>
      <w:r>
        <w:t>prospects (personnes concernées), professionnels, personnels Majelink, sous-traitants (cf. registre).</w:t>
      </w:r>
    </w:p>
    <w:p>
      <w:pPr>
        <w:pStyle w:val="ListBullet"/>
      </w:pPr>
      <w:r>
        <w:rPr>
          <w:b/>
        </w:rPr>
        <w:t xml:space="preserve">Cycle de vie : </w:t>
      </w:r>
      <w:r>
        <w:t>collecte (consentement par palier) → scoring/segmentation → sollicitation (double consentement) → pseudonymisation → révélation journalisée → rémunération → archivage/suppression.</w:t>
      </w:r>
    </w:p>
    <w:p>
      <w:pPr>
        <w:pStyle w:val="ListBullet"/>
      </w:pPr>
      <w:r>
        <w:rPr>
          <w:b/>
        </w:rPr>
        <w:t xml:space="preserve">Mesures existantes : </w:t>
      </w:r>
      <w:r>
        <w:t>hébergement UE, chiffrement, RLS, pseudonymisation à la lecture, alias watermarqués, journal fail-closed + append-only, anti-fraude.</w:t>
      </w:r>
    </w:p>
    <w:p>
      <w:pPr>
        <w:pStyle w:val="Heading1"/>
      </w:pPr>
      <w:r>
        <w:rPr>
          <w:color w:val="4F46E5"/>
        </w:rPr>
        <w:t>3. Nécessité et proportionnalité</w:t>
      </w:r>
    </w:p>
    <w:p>
      <w:pPr>
        <w:pStyle w:val="ListBullet"/>
      </w:pPr>
      <w:r>
        <w:rPr>
          <w:b/>
        </w:rPr>
        <w:t xml:space="preserve">Base légale : </w:t>
      </w:r>
      <w:r>
        <w:t>contrat (mise en relation) ; consentement (paliers, sollicitations) ; obligation légale (fiscal) ; intérêt légitime (fraude). Balance d'intérêts du scoring à formaliser. [À COMPLÉTER]</w:t>
      </w:r>
    </w:p>
    <w:p>
      <w:pPr>
        <w:pStyle w:val="ListBullet"/>
      </w:pPr>
      <w:r>
        <w:rPr>
          <w:b/>
        </w:rPr>
        <w:t xml:space="preserve">Minimisation : </w:t>
      </w:r>
      <w:r>
        <w:t>seuls les paliers nécessaires à l'objectif du pro sont autorisés/facturés ; paliers 2-5 facultatifs et révocables.</w:t>
      </w:r>
    </w:p>
    <w:p>
      <w:pPr>
        <w:pStyle w:val="ListBullet"/>
      </w:pPr>
      <w:r>
        <w:rPr>
          <w:b/>
        </w:rPr>
        <w:t xml:space="preserve">Qualité : </w:t>
      </w:r>
      <w:r>
        <w:t>données saisies par le prospect ; téléphone vérifié OTP ; unicité anti-doublon.</w:t>
      </w:r>
    </w:p>
    <w:p>
      <w:pPr>
        <w:pStyle w:val="ListBullet"/>
      </w:pPr>
      <w:r>
        <w:rPr>
          <w:b/>
        </w:rPr>
        <w:t xml:space="preserve">Durées : </w:t>
      </w:r>
      <w:r>
        <w:t>conformes au référentiel de conservation.</w:t>
      </w:r>
    </w:p>
    <w:p>
      <w:pPr>
        <w:pStyle w:val="ListBullet"/>
      </w:pPr>
      <w:r>
        <w:rPr>
          <w:b/>
        </w:rPr>
        <w:t xml:space="preserve">Information &amp; droits : </w:t>
      </w:r>
      <w:r>
        <w:t>politique de confidentialité, page DPO, page minimisation ; double consentement ; droits d'accès, rectification, effacement, opposition, portabilité.</w:t>
      </w:r>
    </w:p>
    <w:p>
      <w:pPr>
        <w:pStyle w:val="Heading1"/>
      </w:pPr>
      <w:r>
        <w:rPr>
          <w:color w:val="4F46E5"/>
        </w:rPr>
        <w:t>4. Appréciation des risques pour les personnes</w:t>
      </w:r>
    </w:p>
    <w:p>
      <w:r>
        <w:rPr>
          <w:b w:val="0"/>
          <w:i/>
          <w:sz w:val="18"/>
        </w:rPr>
        <w:t>Trois événements redoutés (méthode CNIL) : accès illégitime, modification non désirée, disparition. Cotation gravité × vraisemblance à valider en atelier DPO.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Risque</w:t>
            </w:r>
          </w:p>
        </w:tc>
        <w:tc>
          <w:tcPr>
            <w:tcW w:type="dxa" w:w="2160"/>
          </w:tcPr>
          <w:p>
            <w:r>
              <w:rPr>
                <w:b/>
                <w:sz w:val="16"/>
              </w:rPr>
              <w:t>Impact pour la personne</w:t>
            </w:r>
          </w:p>
        </w:tc>
        <w:tc>
          <w:tcPr>
            <w:tcW w:type="dxa" w:w="2160"/>
          </w:tcPr>
          <w:p>
            <w:r>
              <w:rPr>
                <w:b/>
                <w:sz w:val="16"/>
              </w:rPr>
              <w:t>Mesures en place</w:t>
            </w:r>
          </w:p>
        </w:tc>
        <w:tc>
          <w:tcPr>
            <w:tcW w:type="dxa" w:w="2160"/>
          </w:tcPr>
          <w:p>
            <w:r>
              <w:rPr>
                <w:b/>
                <w:sz w:val="16"/>
              </w:rPr>
              <w:t>Risque résiduel*</w:t>
            </w:r>
          </w:p>
        </w:tc>
      </w:tr>
      <w:tr>
        <w:tc>
          <w:tcPr>
            <w:tcW w:type="dxa" w:w="2160"/>
          </w:tcPr>
          <w:p>
            <w:r>
              <w:rPr>
                <w:sz w:val="16"/>
              </w:rPr>
              <w:t>Accès illégitime (ré-identification, fuite IBAN/revenus)</w:t>
            </w:r>
          </w:p>
        </w:tc>
        <w:tc>
          <w:tcPr>
            <w:tcW w:type="dxa" w:w="2160"/>
          </w:tcPr>
          <w:p>
            <w:r>
              <w:rPr>
                <w:sz w:val="16"/>
              </w:rPr>
              <w:t>Atteinte vie privée, démarchage abusif, risque financier</w:t>
            </w:r>
          </w:p>
        </w:tc>
        <w:tc>
          <w:tcPr>
            <w:tcW w:type="dxa" w:w="2160"/>
          </w:tcPr>
          <w:p>
            <w:r>
              <w:rPr>
                <w:sz w:val="16"/>
              </w:rPr>
              <w:t>Pseudonymisation à la lecture ; alias watermarqués ; RLS ; chiffrement ; révélation gated + journalisée ; aucune carte stockée</w:t>
            </w:r>
          </w:p>
        </w:tc>
        <w:tc>
          <w:tcPr>
            <w:tcW w:type="dxa" w:w="2160"/>
          </w:tcPr>
          <w:p>
            <w:r>
              <w:rPr>
                <w:sz w:val="16"/>
              </w:rPr>
              <w:t>Limité [à valider]</w:t>
            </w:r>
          </w:p>
        </w:tc>
      </w:tr>
      <w:tr>
        <w:tc>
          <w:tcPr>
            <w:tcW w:type="dxa" w:w="2160"/>
          </w:tcPr>
          <w:p>
            <w:r>
              <w:rPr>
                <w:sz w:val="16"/>
              </w:rPr>
              <w:t>Détournement de finalité par un pro (extraction, revente)</w:t>
            </w:r>
          </w:p>
        </w:tc>
        <w:tc>
          <w:tcPr>
            <w:tcW w:type="dxa" w:w="2160"/>
          </w:tcPr>
          <w:p>
            <w:r>
              <w:rPr>
                <w:sz w:val="16"/>
              </w:rPr>
              <w:t>Sollicitations hors cadre, perte de contrôle</w:t>
            </w:r>
          </w:p>
        </w:tc>
        <w:tc>
          <w:tcPr>
            <w:tcW w:type="dxa" w:w="2160"/>
          </w:tcPr>
          <w:p>
            <w:r>
              <w:rPr>
                <w:sz w:val="16"/>
              </w:rPr>
              <w:t>Données non exportables ; consentement à usage unique ; watermark traçable ; journal inviolable ; alerte abus</w:t>
            </w:r>
          </w:p>
        </w:tc>
        <w:tc>
          <w:tcPr>
            <w:tcW w:type="dxa" w:w="2160"/>
          </w:tcPr>
          <w:p>
            <w:r>
              <w:rPr>
                <w:sz w:val="16"/>
              </w:rPr>
              <w:t>Limité [à valider]</w:t>
            </w:r>
          </w:p>
        </w:tc>
      </w:tr>
      <w:tr>
        <w:tc>
          <w:tcPr>
            <w:tcW w:type="dxa" w:w="2160"/>
          </w:tcPr>
          <w:p>
            <w:r>
              <w:rPr>
                <w:sz w:val="16"/>
              </w:rPr>
              <w:t>Falsification d'une trace d'accès</w:t>
            </w:r>
          </w:p>
        </w:tc>
        <w:tc>
          <w:tcPr>
            <w:tcW w:type="dxa" w:w="2160"/>
          </w:tcPr>
          <w:p>
            <w:r>
              <w:rPr>
                <w:sz w:val="16"/>
              </w:rPr>
              <w:t>Impossibilité de prouver l'accès</w:t>
            </w:r>
          </w:p>
        </w:tc>
        <w:tc>
          <w:tcPr>
            <w:tcW w:type="dxa" w:w="2160"/>
          </w:tcPr>
          <w:p>
            <w:r>
              <w:rPr>
                <w:sz w:val="16"/>
              </w:rPr>
              <w:t>Journal append-only (trigger anti-UPDATE) + écriture fail-closed</w:t>
            </w:r>
          </w:p>
        </w:tc>
        <w:tc>
          <w:tcPr>
            <w:tcW w:type="dxa" w:w="2160"/>
          </w:tcPr>
          <w:p>
            <w:r>
              <w:rPr>
                <w:sz w:val="16"/>
              </w:rPr>
              <w:t>Négligeable [à valider]</w:t>
            </w:r>
          </w:p>
        </w:tc>
      </w:tr>
      <w:tr>
        <w:tc>
          <w:tcPr>
            <w:tcW w:type="dxa" w:w="2160"/>
          </w:tcPr>
          <w:p>
            <w:r>
              <w:rPr>
                <w:sz w:val="16"/>
              </w:rPr>
              <w:t>Profilage abusif (scoring) / décision défavorable</w:t>
            </w:r>
          </w:p>
        </w:tc>
        <w:tc>
          <w:tcPr>
            <w:tcW w:type="dxa" w:w="2160"/>
          </w:tcPr>
          <w:p>
            <w:r>
              <w:rPr>
                <w:sz w:val="16"/>
              </w:rPr>
              <w:t>Exclusion d'opportunités, traitement inéquitable</w:t>
            </w:r>
          </w:p>
        </w:tc>
        <w:tc>
          <w:tcPr>
            <w:tcW w:type="dxa" w:w="2160"/>
          </w:tcPr>
          <w:p>
            <w:r>
              <w:rPr>
                <w:sz w:val="16"/>
              </w:rPr>
              <w:t>Score non décisionnel à effet juridique ; transparence ; pas de catégorie sensible ; opposition/rectification</w:t>
            </w:r>
          </w:p>
        </w:tc>
        <w:tc>
          <w:tcPr>
            <w:tcW w:type="dxa" w:w="2160"/>
          </w:tcPr>
          <w:p>
            <w:r>
              <w:rPr>
                <w:sz w:val="16"/>
              </w:rPr>
              <w:t>Limité [à valider]</w:t>
            </w:r>
          </w:p>
        </w:tc>
      </w:tr>
      <w:tr>
        <w:tc>
          <w:tcPr>
            <w:tcW w:type="dxa" w:w="2160"/>
          </w:tcPr>
          <w:p>
            <w:r>
              <w:rPr>
                <w:sz w:val="16"/>
              </w:rPr>
              <w:t>Disparition / indisponibilité</w:t>
            </w:r>
          </w:p>
        </w:tc>
        <w:tc>
          <w:tcPr>
            <w:tcW w:type="dxa" w:w="2160"/>
          </w:tcPr>
          <w:p>
            <w:r>
              <w:rPr>
                <w:sz w:val="16"/>
              </w:rPr>
              <w:t>Perte d'historique, de rémunération due</w:t>
            </w:r>
          </w:p>
        </w:tc>
        <w:tc>
          <w:tcPr>
            <w:tcW w:type="dxa" w:w="2160"/>
          </w:tcPr>
          <w:p>
            <w:r>
              <w:rPr>
                <w:sz w:val="16"/>
              </w:rPr>
              <w:t>Hébergement managé (sauvegardes) ; séquestre des fonds</w:t>
            </w:r>
          </w:p>
        </w:tc>
        <w:tc>
          <w:tcPr>
            <w:tcW w:type="dxa" w:w="2160"/>
          </w:tcPr>
          <w:p>
            <w:r>
              <w:rPr>
                <w:sz w:val="16"/>
              </w:rPr>
              <w:t>Limité [à valider]</w:t>
            </w:r>
          </w:p>
        </w:tc>
      </w:tr>
    </w:tbl>
    <w:p>
      <w:r>
        <w:rPr>
          <w:b w:val="0"/>
          <w:i/>
          <w:color w:val="B45309"/>
          <w:sz w:val="17"/>
        </w:rPr>
        <w:t>* Cotation finale à arrêter avec le DPO (outil PIA CNIL). [À COMPLÉTER]</w:t>
      </w:r>
    </w:p>
    <w:p>
      <w:pPr>
        <w:pStyle w:val="Heading1"/>
      </w:pPr>
      <w:r>
        <w:rPr>
          <w:color w:val="4F46E5"/>
        </w:rPr>
        <w:t>5. Plan d'action et validation</w:t>
      </w:r>
    </w:p>
    <w:p>
      <w:pPr>
        <w:pStyle w:val="ListBullet"/>
      </w:pPr>
      <w:r>
        <w:t>Formaliser la balance d'intérêts du scoring (intérêt légitime).</w:t>
      </w:r>
    </w:p>
    <w:p>
      <w:pPr>
        <w:pStyle w:val="ListBullet"/>
      </w:pPr>
      <w:r>
        <w:t>Arbitrer et automatiser les purges manquantes (prospection 3 ans, logs 12 mois).</w:t>
      </w:r>
    </w:p>
    <w:p>
      <w:pPr>
        <w:pStyle w:val="ListBullet"/>
      </w:pPr>
      <w:r>
        <w:t>Tenir à jour les DPA des sous-traitants.</w:t>
      </w:r>
    </w:p>
    <w:p>
      <w:pPr>
        <w:pStyle w:val="ListBullet"/>
      </w:pPr>
      <w:r>
        <w:t>Valider la cotation des risques (outil PIA CNIL) avec le DPO.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Rôle</w:t>
            </w:r>
          </w:p>
        </w:tc>
        <w:tc>
          <w:tcPr>
            <w:tcW w:type="dxa" w:w="2160"/>
          </w:tcPr>
          <w:p>
            <w:r>
              <w:rPr>
                <w:b/>
                <w:sz w:val="16"/>
              </w:rPr>
              <w:t>Nom</w:t>
            </w:r>
          </w:p>
        </w:tc>
        <w:tc>
          <w:tcPr>
            <w:tcW w:type="dxa" w:w="2160"/>
          </w:tcPr>
          <w:p>
            <w:r>
              <w:rPr>
                <w:b/>
                <w:sz w:val="16"/>
              </w:rPr>
              <w:t>Avis / décision</w:t>
            </w:r>
          </w:p>
        </w:tc>
        <w:tc>
          <w:tcPr>
            <w:tcW w:type="dxa" w:w="2160"/>
          </w:tcPr>
          <w:p>
            <w:r>
              <w:rPr>
                <w:b/>
                <w:sz w:val="16"/>
              </w:rPr>
              <w:t>Date</w:t>
            </w:r>
          </w:p>
        </w:tc>
      </w:tr>
      <w:tr>
        <w:tc>
          <w:tcPr>
            <w:tcW w:type="dxa" w:w="2160"/>
          </w:tcPr>
          <w:p>
            <w:r>
              <w:rPr>
                <w:sz w:val="16"/>
              </w:rPr>
              <w:t>Responsable de traitement</w:t>
            </w:r>
          </w:p>
        </w:tc>
        <w:tc>
          <w:tcPr>
            <w:tcW w:type="dxa" w:w="2160"/>
          </w:tcPr>
          <w:p>
            <w:r>
              <w:rPr>
                <w:sz w:val="16"/>
              </w:rPr>
              <w:t>[À COMPLÉTER]</w:t>
            </w:r>
          </w:p>
        </w:tc>
        <w:tc>
          <w:tcPr>
            <w:tcW w:type="dxa" w:w="2160"/>
          </w:tcPr>
          <w:p>
            <w:r>
              <w:rPr>
                <w:sz w:val="16"/>
              </w:rPr>
            </w:r>
          </w:p>
        </w:tc>
        <w:tc>
          <w:tcPr>
            <w:tcW w:type="dxa" w:w="2160"/>
          </w:tcPr>
          <w:p>
            <w:r>
              <w:rPr>
                <w:sz w:val="16"/>
              </w:rPr>
            </w:r>
          </w:p>
        </w:tc>
      </w:tr>
      <w:tr>
        <w:tc>
          <w:tcPr>
            <w:tcW w:type="dxa" w:w="2160"/>
          </w:tcPr>
          <w:p>
            <w:r>
              <w:rPr>
                <w:sz w:val="16"/>
              </w:rPr>
              <w:t>DPO</w:t>
            </w:r>
          </w:p>
        </w:tc>
        <w:tc>
          <w:tcPr>
            <w:tcW w:type="dxa" w:w="2160"/>
          </w:tcPr>
          <w:p>
            <w:r>
              <w:rPr>
                <w:sz w:val="16"/>
              </w:rPr>
              <w:t>[À COMPLÉTER]</w:t>
            </w:r>
          </w:p>
        </w:tc>
        <w:tc>
          <w:tcPr>
            <w:tcW w:type="dxa" w:w="2160"/>
          </w:tcPr>
          <w:p>
            <w:r>
              <w:rPr>
                <w:sz w:val="16"/>
              </w:rPr>
            </w:r>
          </w:p>
        </w:tc>
        <w:tc>
          <w:tcPr>
            <w:tcW w:type="dxa" w:w="2160"/>
          </w:tcPr>
          <w:p>
            <w:r>
              <w:rPr>
                <w:sz w:val="16"/>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