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60"/>
        </w:rPr>
        <w:t>BUUPP</w:t>
      </w:r>
    </w:p>
    <w:p>
      <w:pPr>
        <w:jc w:val="center"/>
      </w:pPr>
      <w:r>
        <w:rPr>
          <w:sz w:val="32"/>
        </w:rPr>
        <w:t>Analyse d'impact relative à la protection des données (AIPD)</w:t>
      </w:r>
    </w:p>
    <w:p>
      <w:pPr>
        <w:jc w:val="center"/>
      </w:pPr>
      <w:r>
        <w:rPr>
          <w:i/>
          <w:color w:val="475565"/>
          <w:sz w:val="22"/>
        </w:rPr>
        <w:t>Traitement : gestion financière et rémunération (wallet, séquestre, IBAN, retraits) — art. 35 RGPD</w:t>
      </w:r>
    </w:p>
    <w:p/>
    <w:p>
      <w:pPr>
        <w:jc w:val="center"/>
      </w:pPr>
      <w:r>
        <w:rPr>
          <w:b/>
        </w:rPr>
        <w:t xml:space="preserve">Responsable de traitement : </w:t>
      </w:r>
      <w:r>
        <w:t>Majelink (éditeur de la plateforme BUUPP) — RCS Pau 892 514 167 — 12 Impasse des Étriers, 64140 Lons</w:t>
        <w:br/>
      </w:r>
      <w:r>
        <w:t>Chargé à la protection des données : dp.buupp@buupp.com</w:t>
        <w:br/>
      </w:r>
      <w:r>
        <w:t>Version : 14/06/2026</w:t>
      </w:r>
    </w:p>
    <w:p>
      <w:r>
        <w:rPr>
          <w:i/>
          <w:color w:val="B45309"/>
          <w:sz w:val="17"/>
        </w:rPr>
        <w:t>Document de travail ancré sur le système en production (politique de confidentialité publiée, base de données, code source). Les arbitrages juridiques (bases légales, durées, désignation du DPO) doivent être validés par le DPO / le conseil juridique. Les champs marqués « [À COMPLÉTER] » requièrent une décision du responsable de traitement. Ce document ne constitue pas un avis juridique.</w:t>
      </w:r>
    </w:p>
    <w:p>
      <w:r>
        <w:br w:type="page"/>
      </w:r>
    </w:p>
    <w:p>
      <w:pPr>
        <w:pStyle w:val="Heading1"/>
      </w:pPr>
      <w:r>
        <w:rPr>
          <w:color w:val="4F46E5"/>
        </w:rPr>
        <w:t>1. Faut-il une AIPD ? (critères CNIL / WP248)</w:t>
      </w:r>
    </w:p>
    <w:p>
      <w:r>
        <w:rPr>
          <w:b w:val="0"/>
          <w:i w:val="0"/>
        </w:rPr>
        <w:t>Le traitement des données financières (coordonnées bancaires, flux de rémunération) présente un risque élevé potentiel. Critères WP248 remplis :</w:t>
      </w:r>
    </w:p>
    <w:p>
      <w:pPr>
        <w:pStyle w:val="ListBullet"/>
      </w:pPr>
      <w:r>
        <w:rPr>
          <w:b/>
        </w:rPr>
        <w:t xml:space="preserve">✔ </w:t>
      </w:r>
      <w:r>
        <w:t>Données hautement personnelles : coordonnées bancaires (IBAN), montants, historique de transactions.</w:t>
      </w:r>
    </w:p>
    <w:p>
      <w:pPr>
        <w:pStyle w:val="ListBullet"/>
      </w:pPr>
      <w:r>
        <w:rPr>
          <w:b/>
        </w:rPr>
        <w:t xml:space="preserve">✔ </w:t>
      </w:r>
      <w:r>
        <w:t>Collecte à grande échelle de données financières de particuliers rémunérés.</w:t>
      </w:r>
    </w:p>
    <w:p>
      <w:pPr>
        <w:pStyle w:val="ListBullet"/>
      </w:pPr>
      <w:r>
        <w:rPr>
          <w:b/>
        </w:rPr>
        <w:t xml:space="preserve">✔ </w:t>
      </w:r>
      <w:r>
        <w:t>Usage innovant : versement direct de micro-rémunérations liées à la donnée personnelle.</w:t>
      </w:r>
    </w:p>
    <w:p>
      <w:r>
        <w:rPr>
          <w:b w:val="0"/>
          <w:i w:val="0"/>
        </w:rPr>
        <w:t>Particularité : l'essentiel de la chaîne de paiement (vérification d'identité KYC, rails de virement, traitement carte) est délégué à Stripe (Connect), responsable de traitement distinct, certifié PCI-DSS. Le risque résiduel pour BUUPP porte sur le stockage de l'IBAN de retrait, le grand livre du portefeuille (wallet) et les factures. Une AIPD ciblée est néanmoins justifiée par la sensibilité des données.</w:t>
      </w:r>
    </w:p>
    <w:p>
      <w:pPr>
        <w:pStyle w:val="Heading1"/>
      </w:pPr>
      <w:r>
        <w:rPr>
          <w:color w:val="4F46E5"/>
        </w:rPr>
        <w:t>2. Description du traitement</w:t>
      </w:r>
    </w:p>
    <w:p>
      <w:pPr>
        <w:pStyle w:val="ListBullet"/>
      </w:pPr>
      <w:r>
        <w:rPr>
          <w:b/>
        </w:rPr>
        <w:t xml:space="preserve">Finalités : </w:t>
      </w:r>
      <w:r>
        <w:t>recharge des portefeuilles pro, mise sous séquestre, débit à la mise en relation, calcul et versement de la rémunération du prospect, retrait sur IBAN, facturation.</w:t>
      </w:r>
    </w:p>
    <w:p>
      <w:pPr>
        <w:pStyle w:val="ListBullet"/>
      </w:pPr>
      <w:r>
        <w:rPr>
          <w:b/>
        </w:rPr>
        <w:t xml:space="preserve">Données : </w:t>
      </w:r>
      <w:r>
        <w:t>identifiant client Stripe (token, pas de numéro de carte), IBAN du prospect, grand livre des transactions wallet, montants, factures, données fiscales agrégées (cf. DAC7).</w:t>
      </w:r>
    </w:p>
    <w:p>
      <w:pPr>
        <w:pStyle w:val="ListBullet"/>
      </w:pPr>
      <w:r>
        <w:rPr>
          <w:b/>
        </w:rPr>
        <w:t xml:space="preserve">Acteurs : </w:t>
      </w:r>
      <w:r>
        <w:t>prospects (bénéficiaires), professionnels (payeurs), Stripe (sous-traitant/RT distinct), personnels Majelink (comptabilité, support), DGFiP (obligation fiscale).</w:t>
      </w:r>
    </w:p>
    <w:p>
      <w:pPr>
        <w:pStyle w:val="ListBullet"/>
      </w:pPr>
      <w:r>
        <w:rPr>
          <w:b/>
        </w:rPr>
        <w:t xml:space="preserve">Cycle de vie : </w:t>
      </w:r>
      <w:r>
        <w:t>saisie de l'IBAN par le prospect → vérification/virement via Stripe → écriture au grand livre → facture → archivage comptable (10 ans) → suppression de l'IBAN à la clôture du compte.</w:t>
      </w:r>
    </w:p>
    <w:p>
      <w:pPr>
        <w:pStyle w:val="ListBullet"/>
      </w:pPr>
      <w:r>
        <w:rPr>
          <w:b/>
        </w:rPr>
        <w:t xml:space="preserve">Mesures existantes : </w:t>
      </w:r>
      <w:r>
        <w:t>délégation à Stripe (PCI-DSS), aucune donnée carte stockée par BUUPP, chiffrement, RLS, unicité IBAN (anti-doublon), authentification, journalisation administrateur.</w:t>
      </w:r>
    </w:p>
    <w:p>
      <w:pPr>
        <w:pStyle w:val="Heading1"/>
      </w:pPr>
      <w:r>
        <w:rPr>
          <w:color w:val="4F46E5"/>
        </w:rPr>
        <w:t>3. Nécessité et proportionnalité</w:t>
      </w:r>
    </w:p>
    <w:p>
      <w:pPr>
        <w:pStyle w:val="ListBullet"/>
      </w:pPr>
      <w:r>
        <w:rPr>
          <w:b/>
        </w:rPr>
        <w:t xml:space="preserve">Base légale : </w:t>
      </w:r>
      <w:r>
        <w:t>exécution du contrat (art. 6.1.b) pour le paiement/retrait ; obligation légale (6.1.c) pour la conservation comptable et la déclaration DAC7.</w:t>
      </w:r>
    </w:p>
    <w:p>
      <w:pPr>
        <w:pStyle w:val="ListBullet"/>
      </w:pPr>
      <w:r>
        <w:rPr>
          <w:b/>
        </w:rPr>
        <w:t xml:space="preserve">Minimisation : </w:t>
      </w:r>
      <w:r>
        <w:t>BUUPP ne stocke que l'IBAN de retrait et un token Stripe — aucune donnée carte complète ; le KYC est porté par Stripe.</w:t>
      </w:r>
    </w:p>
    <w:p>
      <w:pPr>
        <w:pStyle w:val="ListBullet"/>
      </w:pPr>
      <w:r>
        <w:rPr>
          <w:b/>
        </w:rPr>
        <w:t xml:space="preserve">Qualité : </w:t>
      </w:r>
      <w:r>
        <w:t>IBAN saisi par le prospect ; contrôle d'unicité (un IBAN = un compte) ; vérifications Stripe.</w:t>
      </w:r>
    </w:p>
    <w:p>
      <w:pPr>
        <w:pStyle w:val="ListBullet"/>
      </w:pPr>
      <w:r>
        <w:rPr>
          <w:b/>
        </w:rPr>
        <w:t xml:space="preserve">Durées : </w:t>
      </w:r>
      <w:r>
        <w:t>IBAN = durée du compte ; pièces comptables = 10 ans (L.123-22) ; fiscal DAC7 = 6 ans.</w:t>
      </w:r>
    </w:p>
    <w:p>
      <w:pPr>
        <w:pStyle w:val="ListBullet"/>
      </w:pPr>
      <w:r>
        <w:rPr>
          <w:b/>
        </w:rPr>
        <w:t xml:space="preserve">Information &amp; droits : </w:t>
      </w:r>
      <w:r>
        <w:t>politique de confidentialité (section paiement) ; droits d'accès/rectification/effacement, sous réserve des obligations comptables et fiscales (archivage).</w:t>
      </w:r>
    </w:p>
    <w:p>
      <w:pPr>
        <w:pStyle w:val="Heading1"/>
      </w:pPr>
      <w:r>
        <w:rPr>
          <w:color w:val="4F46E5"/>
        </w:rPr>
        <w:t>4. Appréciation des risques pour les personnes</w:t>
      </w:r>
    </w:p>
    <w:p>
      <w:r>
        <w:rPr>
          <w:b w:val="0"/>
          <w:i/>
          <w:sz w:val="18"/>
        </w:rPr>
        <w:t>Événements redoutés (méthode CNIL). Cotation gravité × vraisemblance à valider avec le DPO.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Risque</w:t>
            </w:r>
          </w:p>
        </w:tc>
        <w:tc>
          <w:tcPr>
            <w:tcW w:type="dxa" w:w="2160"/>
          </w:tcPr>
          <w:p>
            <w:r>
              <w:rPr>
                <w:b/>
                <w:sz w:val="16"/>
              </w:rPr>
              <w:t>Impact pour la personne</w:t>
            </w:r>
          </w:p>
        </w:tc>
        <w:tc>
          <w:tcPr>
            <w:tcW w:type="dxa" w:w="2160"/>
          </w:tcPr>
          <w:p>
            <w:r>
              <w:rPr>
                <w:b/>
                <w:sz w:val="16"/>
              </w:rPr>
              <w:t>Mesures en place</w:t>
            </w:r>
          </w:p>
        </w:tc>
        <w:tc>
          <w:tcPr>
            <w:tcW w:type="dxa" w:w="2160"/>
          </w:tcPr>
          <w:p>
            <w:r>
              <w:rPr>
                <w:b/>
                <w:sz w:val="16"/>
              </w:rPr>
              <w:t>Risque résiduel*</w:t>
            </w:r>
          </w:p>
        </w:tc>
      </w:tr>
      <w:tr>
        <w:tc>
          <w:tcPr>
            <w:tcW w:type="dxa" w:w="2160"/>
          </w:tcPr>
          <w:p>
            <w:r>
              <w:rPr>
                <w:sz w:val="16"/>
              </w:rPr>
              <w:t>Fuite / accès illégitime à l'IBAN ou aux montants</w:t>
            </w:r>
          </w:p>
        </w:tc>
        <w:tc>
          <w:tcPr>
            <w:tcW w:type="dxa" w:w="2160"/>
          </w:tcPr>
          <w:p>
            <w:r>
              <w:rPr>
                <w:sz w:val="16"/>
              </w:rPr>
              <w:t>Risque financier, atteinte à la vie privée</w:t>
            </w:r>
          </w:p>
        </w:tc>
        <w:tc>
          <w:tcPr>
            <w:tcW w:type="dxa" w:w="2160"/>
          </w:tcPr>
          <w:p>
            <w:r>
              <w:rPr>
                <w:sz w:val="16"/>
              </w:rPr>
              <w:t>Chiffrement ; RLS ; accès restreint ; aucune carte stockée ; KYC/rails délégués à Stripe (PCI-DSS)</w:t>
            </w:r>
          </w:p>
        </w:tc>
        <w:tc>
          <w:tcPr>
            <w:tcW w:type="dxa" w:w="2160"/>
          </w:tcPr>
          <w:p>
            <w:r>
              <w:rPr>
                <w:sz w:val="16"/>
              </w:rPr>
              <w:t>Limité [à valider]</w:t>
            </w:r>
          </w:p>
        </w:tc>
      </w:tr>
      <w:tr>
        <w:tc>
          <w:tcPr>
            <w:tcW w:type="dxa" w:w="2160"/>
          </w:tcPr>
          <w:p>
            <w:r>
              <w:rPr>
                <w:sz w:val="16"/>
              </w:rPr>
              <w:t>Détournement (virement frauduleux, usurpation d'IBAN)</w:t>
            </w:r>
          </w:p>
        </w:tc>
        <w:tc>
          <w:tcPr>
            <w:tcW w:type="dxa" w:w="2160"/>
          </w:tcPr>
          <w:p>
            <w:r>
              <w:rPr>
                <w:sz w:val="16"/>
              </w:rPr>
              <w:t>Perte financière directe</w:t>
            </w:r>
          </w:p>
        </w:tc>
        <w:tc>
          <w:tcPr>
            <w:tcW w:type="dxa" w:w="2160"/>
          </w:tcPr>
          <w:p>
            <w:r>
              <w:rPr>
                <w:sz w:val="16"/>
              </w:rPr>
              <w:t>Unicité IBAN (anti-doublon) ; vérifications Stripe ; séquestre ; journalisation</w:t>
            </w:r>
          </w:p>
        </w:tc>
        <w:tc>
          <w:tcPr>
            <w:tcW w:type="dxa" w:w="2160"/>
          </w:tcPr>
          <w:p>
            <w:r>
              <w:rPr>
                <w:sz w:val="16"/>
              </w:rPr>
              <w:t>Limité [à valider]</w:t>
            </w:r>
          </w:p>
        </w:tc>
      </w:tr>
      <w:tr>
        <w:tc>
          <w:tcPr>
            <w:tcW w:type="dxa" w:w="2160"/>
          </w:tcPr>
          <w:p>
            <w:r>
              <w:rPr>
                <w:sz w:val="16"/>
              </w:rPr>
              <w:t>Conservation excessive de données bancaires</w:t>
            </w:r>
          </w:p>
        </w:tc>
        <w:tc>
          <w:tcPr>
            <w:tcW w:type="dxa" w:w="2160"/>
          </w:tcPr>
          <w:p>
            <w:r>
              <w:rPr>
                <w:sz w:val="16"/>
              </w:rPr>
              <w:t>Atteinte à la limitation de conservation</w:t>
            </w:r>
          </w:p>
        </w:tc>
        <w:tc>
          <w:tcPr>
            <w:tcW w:type="dxa" w:w="2160"/>
          </w:tcPr>
          <w:p>
            <w:r>
              <w:rPr>
                <w:sz w:val="16"/>
              </w:rPr>
              <w:t>IBAN supprimé à la clôture ; seules les pièces comptables sont archivées (10 ans)</w:t>
            </w:r>
          </w:p>
        </w:tc>
        <w:tc>
          <w:tcPr>
            <w:tcW w:type="dxa" w:w="2160"/>
          </w:tcPr>
          <w:p>
            <w:r>
              <w:rPr>
                <w:sz w:val="16"/>
              </w:rPr>
              <w:t>Négligeable [à valider]</w:t>
            </w:r>
          </w:p>
        </w:tc>
      </w:tr>
      <w:tr>
        <w:tc>
          <w:tcPr>
            <w:tcW w:type="dxa" w:w="2160"/>
          </w:tcPr>
          <w:p>
            <w:r>
              <w:rPr>
                <w:sz w:val="16"/>
              </w:rPr>
              <w:t>Erreur de versement / non-paiement</w:t>
            </w:r>
          </w:p>
        </w:tc>
        <w:tc>
          <w:tcPr>
            <w:tcW w:type="dxa" w:w="2160"/>
          </w:tcPr>
          <w:p>
            <w:r>
              <w:rPr>
                <w:sz w:val="16"/>
              </w:rPr>
              <w:t>Préjudice financier pour le prospect</w:t>
            </w:r>
          </w:p>
        </w:tc>
        <w:tc>
          <w:tcPr>
            <w:tcW w:type="dxa" w:w="2160"/>
          </w:tcPr>
          <w:p>
            <w:r>
              <w:rPr>
                <w:sz w:val="16"/>
              </w:rPr>
              <w:t>Grand livre wallet ; séquestre jusqu'à clôture ; traçabilité des transactions</w:t>
            </w:r>
          </w:p>
        </w:tc>
        <w:tc>
          <w:tcPr>
            <w:tcW w:type="dxa" w:w="2160"/>
          </w:tcPr>
          <w:p>
            <w:r>
              <w:rPr>
                <w:sz w:val="16"/>
              </w:rPr>
              <w:t>Limité [à valider]</w:t>
            </w:r>
          </w:p>
        </w:tc>
      </w:tr>
      <w:tr>
        <w:tc>
          <w:tcPr>
            <w:tcW w:type="dxa" w:w="2160"/>
          </w:tcPr>
          <w:p>
            <w:r>
              <w:rPr>
                <w:sz w:val="16"/>
              </w:rPr>
              <w:t>Transfert hors UE des données de paiement</w:t>
            </w:r>
          </w:p>
        </w:tc>
        <w:tc>
          <w:tcPr>
            <w:tcW w:type="dxa" w:w="2160"/>
          </w:tcPr>
          <w:p>
            <w:r>
              <w:rPr>
                <w:sz w:val="16"/>
              </w:rPr>
              <w:t>Perte de garanties</w:t>
            </w:r>
          </w:p>
        </w:tc>
        <w:tc>
          <w:tcPr>
            <w:tcW w:type="dxa" w:w="2160"/>
          </w:tcPr>
          <w:p>
            <w:r>
              <w:rPr>
                <w:sz w:val="16"/>
              </w:rPr>
              <w:t>Stripe Payments Europe (Irlande, UE) ; encadrement contractuel</w:t>
            </w:r>
          </w:p>
        </w:tc>
        <w:tc>
          <w:tcPr>
            <w:tcW w:type="dxa" w:w="2160"/>
          </w:tcPr>
          <w:p>
            <w:r>
              <w:rPr>
                <w:sz w:val="16"/>
              </w:rPr>
              <w:t>Négligeable [à valider]</w:t>
            </w:r>
          </w:p>
        </w:tc>
      </w:tr>
    </w:tbl>
    <w:p>
      <w:r>
        <w:rPr>
          <w:b w:val="0"/>
          <w:i/>
          <w:color w:val="B45309"/>
          <w:sz w:val="17"/>
        </w:rPr>
        <w:t>* Cotation finale à arrêter avec le DPO (outil PIA CNIL). [À COMPLÉTER]</w:t>
      </w:r>
    </w:p>
    <w:p>
      <w:pPr>
        <w:pStyle w:val="Heading1"/>
      </w:pPr>
      <w:r>
        <w:rPr>
          <w:color w:val="4F46E5"/>
        </w:rPr>
        <w:t>5. Plan d'action et validation</w:t>
      </w:r>
    </w:p>
    <w:p>
      <w:pPr>
        <w:pStyle w:val="ListBullet"/>
      </w:pPr>
      <w:r>
        <w:t>Confirmer la qualification de Stripe (sous-traitant vs responsable conjoint/distinct) et tenir le DPA à jour.</w:t>
      </w:r>
    </w:p>
    <w:p>
      <w:pPr>
        <w:pStyle w:val="ListBullet"/>
      </w:pPr>
      <w:r>
        <w:t>Vérifier la suppression effective de l'IBAN à la clôture (hors obligations d'archivage).</w:t>
      </w:r>
    </w:p>
    <w:p>
      <w:pPr>
        <w:pStyle w:val="ListBullet"/>
      </w:pPr>
      <w:r>
        <w:t>Documenter la politique d'archivage comptable (accès restreint, durée 10 ans).</w:t>
      </w:r>
    </w:p>
    <w:p>
      <w:pPr>
        <w:pStyle w:val="ListBullet"/>
      </w:pPr>
      <w:r>
        <w:t>Valider la cotation des risques (outil PIA CNIL) avec le DPO.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Rôle</w:t>
            </w:r>
          </w:p>
        </w:tc>
        <w:tc>
          <w:tcPr>
            <w:tcW w:type="dxa" w:w="2160"/>
          </w:tcPr>
          <w:p>
            <w:r>
              <w:rPr>
                <w:b/>
                <w:sz w:val="16"/>
              </w:rPr>
              <w:t>Nom</w:t>
            </w:r>
          </w:p>
        </w:tc>
        <w:tc>
          <w:tcPr>
            <w:tcW w:type="dxa" w:w="2160"/>
          </w:tcPr>
          <w:p>
            <w:r>
              <w:rPr>
                <w:b/>
                <w:sz w:val="16"/>
              </w:rPr>
              <w:t>Avis / décision</w:t>
            </w:r>
          </w:p>
        </w:tc>
        <w:tc>
          <w:tcPr>
            <w:tcW w:type="dxa" w:w="2160"/>
          </w:tcPr>
          <w:p>
            <w:r>
              <w:rPr>
                <w:b/>
                <w:sz w:val="16"/>
              </w:rPr>
              <w:t>Date</w:t>
            </w:r>
          </w:p>
        </w:tc>
      </w:tr>
      <w:tr>
        <w:tc>
          <w:tcPr>
            <w:tcW w:type="dxa" w:w="2160"/>
          </w:tcPr>
          <w:p>
            <w:r>
              <w:rPr>
                <w:sz w:val="16"/>
              </w:rPr>
              <w:t>Responsable de traitement</w:t>
            </w:r>
          </w:p>
        </w:tc>
        <w:tc>
          <w:tcPr>
            <w:tcW w:type="dxa" w:w="2160"/>
          </w:tcPr>
          <w:p>
            <w:r>
              <w:rPr>
                <w:sz w:val="16"/>
              </w:rPr>
              <w:t>[À COMPLÉTER]</w:t>
            </w:r>
          </w:p>
        </w:tc>
        <w:tc>
          <w:tcPr>
            <w:tcW w:type="dxa" w:w="2160"/>
          </w:tcPr>
          <w:p>
            <w:r>
              <w:rPr>
                <w:sz w:val="16"/>
              </w:rPr>
            </w:r>
          </w:p>
        </w:tc>
        <w:tc>
          <w:tcPr>
            <w:tcW w:type="dxa" w:w="2160"/>
          </w:tcPr>
          <w:p>
            <w:r>
              <w:rPr>
                <w:sz w:val="16"/>
              </w:rPr>
            </w:r>
          </w:p>
        </w:tc>
      </w:tr>
      <w:tr>
        <w:tc>
          <w:tcPr>
            <w:tcW w:type="dxa" w:w="2160"/>
          </w:tcPr>
          <w:p>
            <w:r>
              <w:rPr>
                <w:sz w:val="16"/>
              </w:rPr>
              <w:t>DPO</w:t>
            </w:r>
          </w:p>
        </w:tc>
        <w:tc>
          <w:tcPr>
            <w:tcW w:type="dxa" w:w="2160"/>
          </w:tcPr>
          <w:p>
            <w:r>
              <w:rPr>
                <w:sz w:val="16"/>
              </w:rPr>
              <w:t>[À COMPLÉTER]</w:t>
            </w:r>
          </w:p>
        </w:tc>
        <w:tc>
          <w:tcPr>
            <w:tcW w:type="dxa" w:w="2160"/>
          </w:tcPr>
          <w:p>
            <w:r>
              <w:rPr>
                <w:sz w:val="16"/>
              </w:rPr>
            </w:r>
          </w:p>
        </w:tc>
        <w:tc>
          <w:tcPr>
            <w:tcW w:type="dxa" w:w="2160"/>
          </w:tcPr>
          <w:p>
            <w:r>
              <w:rPr>
                <w:sz w:val="16"/>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