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0"/>
        </w:rPr>
        <w:t>BUUPP</w:t>
      </w:r>
    </w:p>
    <w:p>
      <w:pPr>
        <w:jc w:val="center"/>
      </w:pPr>
      <w:r>
        <w:rPr>
          <w:sz w:val="32"/>
        </w:rPr>
        <w:t>Mesures de sécurité et de protection des données personnelles</w:t>
      </w:r>
    </w:p>
    <w:p>
      <w:pPr>
        <w:jc w:val="center"/>
      </w:pPr>
      <w:r>
        <w:rPr>
          <w:i/>
          <w:color w:val="475565"/>
          <w:sz w:val="22"/>
        </w:rPr>
        <w:t>Dossier de conformité RGPD — à présenter en cas de contrôle (CNIL ou autre autorité)</w:t>
      </w:r>
    </w:p>
    <w:p/>
    <w:p>
      <w:pPr>
        <w:jc w:val="center"/>
      </w:pPr>
      <w:r>
        <w:rPr>
          <w:b/>
        </w:rPr>
        <w:t xml:space="preserve">Responsable de traitement : </w:t>
      </w:r>
      <w:r>
        <w:t>Majelink (éditeur de la plateforme BUUPP) — RCS Pau 892 514 167 — 12 Impasse des Étriers, 64140 Lons</w:t>
        <w:br/>
      </w:r>
      <w:r>
        <w:t>Chargé à la protection des données : dp.buupp@buupp.com</w:t>
        <w:br/>
      </w:r>
      <w:r>
        <w:t>Version : 14/06/2026</w:t>
      </w:r>
    </w:p>
    <w:p>
      <w:r>
        <w:rPr>
          <w:i/>
          <w:color w:val="B45309"/>
          <w:sz w:val="17"/>
        </w:rPr>
        <w:t>Document de travail ancré sur le système en production (politique de confidentialité publiée, base de données, code source). Les arbitrages juridiques (bases légales, durées, désignation du DPO) doivent être validés par le DPO / le conseil juridique. Les champs marqués « [À COMPLÉTER] » requièrent une décision du responsable de traitement. Ce document ne constitue pas un avis juridique.</w:t>
      </w:r>
    </w:p>
    <w:p>
      <w:r>
        <w:br w:type="page"/>
      </w:r>
    </w:p>
    <w:p>
      <w:pPr>
        <w:pStyle w:val="Heading1"/>
      </w:pPr>
      <w:r>
        <w:rPr>
          <w:color w:val="4F46E5"/>
        </w:rPr>
        <w:t>0. Objet du document</w:t>
      </w:r>
    </w:p>
    <w:p>
      <w:r>
        <w:rPr>
          <w:b w:val="0"/>
          <w:i w:val="0"/>
        </w:rPr>
        <w:t>BUUPP est une plateforme française de mise en relation rémunérée à double consentement entre particuliers (« prospects ») et professionnels. Les particuliers acceptent, sollicitation par sollicitation, d'être contactés en échange d'une rémunération ; aucune donnée n'est transmise sans accord explicite.</w:t>
      </w:r>
    </w:p>
    <w:p>
      <w:r>
        <w:rPr>
          <w:b w:val="0"/>
          <w:i w:val="0"/>
        </w:rPr>
        <w:t>Ce document recense les mesures techniques et organisationnelles de sécurité et de protection des données, et indique où les vérifier dans le système (fichier de code, migration, configuration).</w:t>
      </w:r>
    </w:p>
    <w:p>
      <w:r>
        <w:rPr>
          <w:b w:val="0"/>
          <w:i/>
        </w:rPr>
        <w:t>Principe directeur : protection des données dès la conception (privacy by design) et par défaut. Expertise RGPD portée par le fondateur, juriste spécialisé en protection des données personnelles.</w:t>
      </w:r>
    </w:p>
    <w:p>
      <w:pPr>
        <w:pStyle w:val="Heading1"/>
      </w:pPr>
      <w:r>
        <w:rPr>
          <w:color w:val="4F46E5"/>
        </w:rPr>
        <w:t>1. Pseudonymisation et minimisation</w:t>
      </w:r>
    </w:p>
    <w:p>
      <w:r>
        <w:rPr>
          <w:b w:val="0"/>
          <w:i w:val="0"/>
        </w:rPr>
        <w:t>Les données prospect sont stockées en base mais jamais transmises telles quelles : la transformation est appliquée à la lecture, côté serveur.</w:t>
      </w:r>
    </w:p>
    <w:p>
      <w:pPr>
        <w:pStyle w:val="ListBullet"/>
      </w:pPr>
      <w:r>
        <w:t>nom → masquage ; e-mail → alias watermarqué ; date de naissance → tranche d'âge de 5 ans ; code postal → département ; adresse/poste/revenus → suppression ; véhicule/animaux/foyer → catégorisation.</w:t>
      </w:r>
    </w:p>
    <w:p>
      <w:pPr>
        <w:pStyle w:val="ListBullet"/>
      </w:pPr>
      <w:r>
        <w:t>Seul BUUPP peut relier un profil pseudonymisé à la personne (réversible par buupp seul).</w:t>
      </w:r>
    </w:p>
    <w:p>
      <w:r>
        <w:rPr>
          <w:b w:val="0"/>
          <w:i w:val="0"/>
          <w:color w:val="475565"/>
          <w:sz w:val="17"/>
        </w:rPr>
        <w:t>Preuve : lib/pro/pseudonymize.ts ; app/api/pro/contacts/[relationId]/details/route.ts ; minimisation par finalité (page /minimisation).</w:t>
      </w:r>
    </w:p>
    <w:p>
      <w:pPr>
        <w:pStyle w:val="Heading1"/>
      </w:pPr>
      <w:r>
        <w:rPr>
          <w:color w:val="4F46E5"/>
        </w:rPr>
        <w:t>2. Consentement (double consentement)</w:t>
      </w:r>
    </w:p>
    <w:p>
      <w:r>
        <w:rPr>
          <w:b w:val="0"/>
          <w:i w:val="0"/>
        </w:rPr>
        <w:t>Deux consentements explicites : (1) acceptation des CGU à l'inscription, (2) acceptation explicite de chaque sollicitation. Chaque accord est limité à une seule sollicitation — pas de réutilisation ni de revente.</w:t>
      </w:r>
    </w:p>
    <w:p>
      <w:r>
        <w:rPr>
          <w:b w:val="0"/>
          <w:i w:val="0"/>
          <w:color w:val="475565"/>
          <w:sz w:val="17"/>
        </w:rPr>
        <w:t>Preuve : lib/cnil/consent.ts ; CGU /cgu, /cgv.</w:t>
      </w:r>
    </w:p>
    <w:p>
      <w:pPr>
        <w:pStyle w:val="Heading1"/>
      </w:pPr>
      <w:r>
        <w:rPr>
          <w:color w:val="4F46E5"/>
        </w:rPr>
        <w:t>3. Sécurité technique</w:t>
      </w:r>
    </w:p>
    <w:p>
      <w:pPr>
        <w:pStyle w:val="ListBullet"/>
      </w:pPr>
      <w:r>
        <w:rPr>
          <w:b/>
        </w:rPr>
        <w:t xml:space="preserve">Hébergement UE — </w:t>
      </w:r>
      <w:r>
        <w:t>Supabase (PostgreSQL) en Irlande (eu-west-1) ; application sur Vercel.</w:t>
      </w:r>
    </w:p>
    <w:p>
      <w:pPr>
        <w:pStyle w:val="ListBullet"/>
      </w:pPr>
      <w:r>
        <w:rPr>
          <w:b/>
        </w:rPr>
        <w:t xml:space="preserve">Chiffrement — </w:t>
      </w:r>
      <w:r>
        <w:t>TLS en transit, chiffrement au repos (Supabase).</w:t>
      </w:r>
    </w:p>
    <w:p>
      <w:pPr>
        <w:pStyle w:val="ListBullet"/>
      </w:pPr>
      <w:r>
        <w:rPr>
          <w:b/>
        </w:rPr>
        <w:t xml:space="preserve">Authentification — </w:t>
      </w:r>
      <w:r>
        <w:t>Clerk + middleware (proxy.ts) ; aucune donnée prospect accessible sans authentification.</w:t>
      </w:r>
    </w:p>
    <w:p>
      <w:pPr>
        <w:pStyle w:val="ListBullet"/>
      </w:pPr>
      <w:r>
        <w:rPr>
          <w:b/>
        </w:rPr>
        <w:t xml:space="preserve">Cloisonnement (RLS) — </w:t>
      </w:r>
      <w:r>
        <w:t>Row Level Security ; tables d'audit sans policy (service_role uniquement).</w:t>
      </w:r>
    </w:p>
    <w:p>
      <w:pPr>
        <w:pStyle w:val="ListBullet"/>
      </w:pPr>
      <w:r>
        <w:rPr>
          <w:b/>
        </w:rPr>
        <w:t xml:space="preserve">Rate-limiting — </w:t>
      </w:r>
      <w:r>
        <w:t>endpoints publics/sensibles (lib/rate-limit/check.ts).</w:t>
      </w:r>
    </w:p>
    <w:p>
      <w:pPr>
        <w:pStyle w:val="ListBullet"/>
      </w:pPr>
      <w:r>
        <w:rPr>
          <w:b/>
        </w:rPr>
        <w:t xml:space="preserve">Paiements — </w:t>
      </w:r>
      <w:r>
        <w:t>délégués à Stripe Connect (PCI-DSS) ; aucune donnée carte stockée par BUUPP.</w:t>
      </w:r>
    </w:p>
    <w:p>
      <w:pPr>
        <w:pStyle w:val="Heading1"/>
      </w:pPr>
      <w:r>
        <w:rPr>
          <w:color w:val="4F46E5"/>
        </w:rPr>
        <w:t>4. Anti-fraude multicouche</w:t>
      </w:r>
    </w:p>
    <w:p>
      <w:r>
        <w:rPr>
          <w:b w:val="0"/>
          <w:i w:val="0"/>
        </w:rPr>
        <w:t>Mesure publique : « Contraintes d'unicité IBAN / téléphone / rôle, honeypots sur formulaires publics, journal d'audit verrouillé des révélations. » Démonstration :</w:t>
      </w:r>
    </w:p>
    <w:p>
      <w:pPr>
        <w:pStyle w:val="ListBullet"/>
      </w:pPr>
      <w:r>
        <w:rPr>
          <w:b/>
        </w:rPr>
        <w:t xml:space="preserve">Unicité IBAN — </w:t>
      </w:r>
      <w:r>
        <w:t>index UNIQUE (20260507150000_prospect_rib_unique_iban.sql).</w:t>
      </w:r>
    </w:p>
    <w:p>
      <w:pPr>
        <w:pStyle w:val="ListBullet"/>
      </w:pPr>
      <w:r>
        <w:rPr>
          <w:b/>
        </w:rPr>
        <w:t xml:space="preserve">Unicité téléphone — </w:t>
      </w:r>
      <w:r>
        <w:t>index UNIQUE partiel + OTP (20260507160000_… ; 20260505070000_phone_verification.sql).</w:t>
      </w:r>
    </w:p>
    <w:p>
      <w:pPr>
        <w:pStyle w:val="ListBullet"/>
      </w:pPr>
      <w:r>
        <w:rPr>
          <w:b/>
        </w:rPr>
        <w:t xml:space="preserve">Exclusivité de rôle — </w:t>
      </w:r>
      <w:r>
        <w:t>trigger 23505 (20260508140000_role_exclusivity.sql).</w:t>
      </w:r>
    </w:p>
    <w:p>
      <w:pPr>
        <w:pStyle w:val="ListBullet"/>
      </w:pPr>
      <w:r>
        <w:rPr>
          <w:b/>
        </w:rPr>
        <w:t xml:space="preserve">Honeypots — </w:t>
      </w:r>
      <w:r>
        <w:t>champ caché « website » (ContactDpoForm.tsx, HomeContactSection.tsx, /api/waitlist).</w:t>
      </w:r>
    </w:p>
    <w:p>
      <w:pPr>
        <w:pStyle w:val="ListBullet"/>
      </w:pPr>
      <w:r>
        <w:rPr>
          <w:b/>
        </w:rPr>
        <w:t xml:space="preserve">Watermarking — </w:t>
      </w:r>
      <w:r>
        <w:t>alias e-mail unique par relation routé via Cloudflare (lib/aliases/relation-email.ts).</w:t>
      </w:r>
    </w:p>
    <w:p>
      <w:pPr>
        <w:pStyle w:val="ListBullet"/>
      </w:pPr>
      <w:r>
        <w:rPr>
          <w:b/>
        </w:rPr>
        <w:t xml:space="preserve">Journal verrouillé — </w:t>
      </w:r>
      <w:r>
        <w:t>cf. section 5.</w:t>
      </w:r>
    </w:p>
    <w:p>
      <w:pPr>
        <w:pStyle w:val="Heading1"/>
      </w:pPr>
      <w:r>
        <w:rPr>
          <w:color w:val="4F46E5"/>
        </w:rPr>
        <w:t>5. Journalisation et traçabilité des accès</w:t>
      </w:r>
    </w:p>
    <w:p>
      <w:r>
        <w:rPr>
          <w:b w:val="0"/>
          <w:i w:val="0"/>
        </w:rPr>
        <w:t>Toute révélation (e-mail, téléphone, nom, fiche détaillée) par un pro est journalisée dans pro_contact_reveals : qui / quoi / quel prospect / quand.</w:t>
      </w:r>
    </w:p>
    <w:p>
      <w:pPr>
        <w:pStyle w:val="ListBullet"/>
      </w:pPr>
      <w:r>
        <w:rPr>
          <w:b/>
        </w:rPr>
        <w:t xml:space="preserve">Exhaustivité (fail-closed) — </w:t>
      </w:r>
      <w:r>
        <w:t>la donnée n'est livrée que si la révélation est journalisée ; sinon HTTP 500, rien n'est exposé.</w:t>
      </w:r>
    </w:p>
    <w:p>
      <w:pPr>
        <w:pStyle w:val="ListBullet"/>
      </w:pPr>
      <w:r>
        <w:rPr>
          <w:b/>
        </w:rPr>
        <w:t xml:space="preserve">Inviolabilité (append-only) — </w:t>
      </w:r>
      <w:r>
        <w:t>trigger anti-UPDATE appliqué en prod (pro_contact_reveals_lock_update).</w:t>
      </w:r>
    </w:p>
    <w:p>
      <w:pPr>
        <w:pStyle w:val="ListBullet"/>
      </w:pPr>
      <w:r>
        <w:rPr>
          <w:b/>
        </w:rPr>
        <w:t xml:space="preserve">Conservation — </w:t>
      </w:r>
      <w:r>
        <w:t>24 mois puis purge quotidienne (lib/pro/reveals-retention.ts).</w:t>
      </w:r>
    </w:p>
    <w:p>
      <w:r>
        <w:rPr>
          <w:b w:val="0"/>
          <w:i w:val="0"/>
          <w:sz w:val="18"/>
        </w:rPr>
        <w:t>Autres journaux : clics de contact (pro_contact_clicks + alerte abus) ; événements administrateur (admin_events).</w:t>
      </w:r>
    </w:p>
    <w:p>
      <w:pPr>
        <w:pStyle w:val="Heading1"/>
      </w:pPr>
      <w:r>
        <w:rPr>
          <w:color w:val="4F46E5"/>
        </w:rPr>
        <w:t>6. Droits des personnes</w:t>
      </w:r>
    </w:p>
    <w:p>
      <w:pPr>
        <w:pStyle w:val="ListBullet"/>
      </w:pPr>
      <w:r>
        <w:t>Accès (art. 15) : le prospect peut savoir qui a accédé à ses données et quand.</w:t>
      </w:r>
    </w:p>
    <w:p>
      <w:pPr>
        <w:pStyle w:val="ListBullet"/>
      </w:pPr>
      <w:r>
        <w:t>Rectification (16) / effacement (17) : depuis l'espace prospect ou via le DPO ; l'effacement supprime données et journaux liés (cascade).</w:t>
      </w:r>
    </w:p>
    <w:p>
      <w:pPr>
        <w:pStyle w:val="ListBullet"/>
      </w:pPr>
      <w:r>
        <w:t>Transparence : politique RGPD, page DPO, information cookies.</w:t>
      </w:r>
    </w:p>
    <w:p>
      <w:pPr>
        <w:pStyle w:val="Heading1"/>
      </w:pPr>
      <w:r>
        <w:rPr>
          <w:color w:val="4F46E5"/>
        </w:rPr>
        <w:t>7. Sous-traitants et hébergeurs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Sous-traitant</w:t>
            </w:r>
          </w:p>
        </w:tc>
        <w:tc>
          <w:tcPr>
            <w:tcW w:type="dxa" w:w="2160"/>
          </w:tcPr>
          <w:p>
            <w:r>
              <w:rPr>
                <w:b/>
                <w:sz w:val="16"/>
              </w:rPr>
              <w:t>Rôle</w:t>
            </w:r>
          </w:p>
        </w:tc>
        <w:tc>
          <w:tcPr>
            <w:tcW w:type="dxa" w:w="2160"/>
          </w:tcPr>
          <w:p>
            <w:r>
              <w:rPr>
                <w:b/>
                <w:sz w:val="16"/>
              </w:rPr>
              <w:t>Localisation</w:t>
            </w:r>
          </w:p>
        </w:tc>
        <w:tc>
          <w:tcPr>
            <w:tcW w:type="dxa" w:w="2160"/>
          </w:tcPr>
          <w:p>
            <w:r>
              <w:rPr>
                <w:b/>
                <w:sz w:val="16"/>
              </w:rPr>
              <w:t>Encadrement</w:t>
            </w:r>
          </w:p>
        </w:tc>
      </w:tr>
      <w:tr>
        <w:tc>
          <w:tcPr>
            <w:tcW w:type="dxa" w:w="2160"/>
          </w:tcPr>
          <w:p>
            <w:r>
              <w:rPr>
                <w:sz w:val="16"/>
              </w:rPr>
              <w:t>Supabase Inc.</w:t>
            </w:r>
          </w:p>
        </w:tc>
        <w:tc>
          <w:tcPr>
            <w:tcW w:type="dxa" w:w="2160"/>
          </w:tcPr>
          <w:p>
            <w:r>
              <w:rPr>
                <w:sz w:val="16"/>
              </w:rPr>
              <w:t>Base de données PostgreSQL + Storage</w:t>
            </w:r>
          </w:p>
        </w:tc>
        <w:tc>
          <w:tcPr>
            <w:tcW w:type="dxa" w:w="2160"/>
          </w:tcPr>
          <w:p>
            <w:r>
              <w:rPr>
                <w:sz w:val="16"/>
              </w:rPr>
              <w:t>UE — Irlande (eu-west-1)</w:t>
            </w:r>
          </w:p>
        </w:tc>
        <w:tc>
          <w:tcPr>
            <w:tcW w:type="dxa" w:w="2160"/>
          </w:tcPr>
          <w:p>
            <w:r>
              <w:rPr>
                <w:sz w:val="16"/>
              </w:rPr>
              <w:t>Art. 28 — DPA</w:t>
            </w:r>
          </w:p>
        </w:tc>
      </w:tr>
      <w:tr>
        <w:tc>
          <w:tcPr>
            <w:tcW w:type="dxa" w:w="2160"/>
          </w:tcPr>
          <w:p>
            <w:r>
              <w:rPr>
                <w:sz w:val="16"/>
              </w:rPr>
              <w:t>Vercel Inc.</w:t>
            </w:r>
          </w:p>
        </w:tc>
        <w:tc>
          <w:tcPr>
            <w:tcW w:type="dxa" w:w="2160"/>
          </w:tcPr>
          <w:p>
            <w:r>
              <w:rPr>
                <w:sz w:val="16"/>
              </w:rPr>
              <w:t>Hébergement de l'application</w:t>
            </w:r>
          </w:p>
        </w:tc>
        <w:tc>
          <w:tcPr>
            <w:tcW w:type="dxa" w:w="2160"/>
          </w:tcPr>
          <w:p>
            <w:r>
              <w:rPr>
                <w:sz w:val="16"/>
              </w:rPr>
              <w:t>États-Unis (servi en UE)</w:t>
            </w:r>
          </w:p>
        </w:tc>
        <w:tc>
          <w:tcPr>
            <w:tcW w:type="dxa" w:w="2160"/>
          </w:tcPr>
          <w:p>
            <w:r>
              <w:rPr>
                <w:sz w:val="16"/>
              </w:rPr>
              <w:t>SCC (clauses types)</w:t>
            </w:r>
          </w:p>
        </w:tc>
      </w:tr>
      <w:tr>
        <w:tc>
          <w:tcPr>
            <w:tcW w:type="dxa" w:w="2160"/>
          </w:tcPr>
          <w:p>
            <w:r>
              <w:rPr>
                <w:sz w:val="16"/>
              </w:rPr>
              <w:t>Clerk Inc.</w:t>
            </w:r>
          </w:p>
        </w:tc>
        <w:tc>
          <w:tcPr>
            <w:tcW w:type="dxa" w:w="2160"/>
          </w:tcPr>
          <w:p>
            <w:r>
              <w:rPr>
                <w:sz w:val="16"/>
              </w:rPr>
              <w:t>Authentification / identités</w:t>
            </w:r>
          </w:p>
        </w:tc>
        <w:tc>
          <w:tcPr>
            <w:tcW w:type="dxa" w:w="2160"/>
          </w:tcPr>
          <w:p>
            <w:r>
              <w:rPr>
                <w:sz w:val="16"/>
              </w:rPr>
              <w:t>États-Unis</w:t>
            </w:r>
          </w:p>
        </w:tc>
        <w:tc>
          <w:tcPr>
            <w:tcW w:type="dxa" w:w="2160"/>
          </w:tcPr>
          <w:p>
            <w:r>
              <w:rPr>
                <w:sz w:val="16"/>
              </w:rPr>
              <w:t>SCC (clauses types)</w:t>
            </w:r>
          </w:p>
        </w:tc>
      </w:tr>
      <w:tr>
        <w:tc>
          <w:tcPr>
            <w:tcW w:type="dxa" w:w="2160"/>
          </w:tcPr>
          <w:p>
            <w:r>
              <w:rPr>
                <w:sz w:val="16"/>
              </w:rPr>
              <w:t>Stripe Payments Europe Ltd</w:t>
            </w:r>
          </w:p>
        </w:tc>
        <w:tc>
          <w:tcPr>
            <w:tcW w:type="dxa" w:w="2160"/>
          </w:tcPr>
          <w:p>
            <w:r>
              <w:rPr>
                <w:sz w:val="16"/>
              </w:rPr>
              <w:t>Paiements, KYC, virements (Connect)</w:t>
            </w:r>
          </w:p>
        </w:tc>
        <w:tc>
          <w:tcPr>
            <w:tcW w:type="dxa" w:w="2160"/>
          </w:tcPr>
          <w:p>
            <w:r>
              <w:rPr>
                <w:sz w:val="16"/>
              </w:rPr>
              <w:t>UE — Irlande</w:t>
            </w:r>
          </w:p>
        </w:tc>
        <w:tc>
          <w:tcPr>
            <w:tcW w:type="dxa" w:w="2160"/>
          </w:tcPr>
          <w:p>
            <w:r>
              <w:rPr>
                <w:sz w:val="16"/>
              </w:rPr>
              <w:t>RT distinct (PCI-DSS)</w:t>
            </w:r>
          </w:p>
        </w:tc>
      </w:tr>
      <w:tr>
        <w:tc>
          <w:tcPr>
            <w:tcW w:type="dxa" w:w="2160"/>
          </w:tcPr>
          <w:p>
            <w:r>
              <w:rPr>
                <w:sz w:val="16"/>
              </w:rPr>
              <w:t>Brevo (Sendinblue SAS)</w:t>
            </w:r>
          </w:p>
        </w:tc>
        <w:tc>
          <w:tcPr>
            <w:tcW w:type="dxa" w:w="2160"/>
          </w:tcPr>
          <w:p>
            <w:r>
              <w:rPr>
                <w:sz w:val="16"/>
              </w:rPr>
              <w:t>E-mails et SMS transactionnels</w:t>
            </w:r>
          </w:p>
        </w:tc>
        <w:tc>
          <w:tcPr>
            <w:tcW w:type="dxa" w:w="2160"/>
          </w:tcPr>
          <w:p>
            <w:r>
              <w:rPr>
                <w:sz w:val="16"/>
              </w:rPr>
              <w:t>UE — France</w:t>
            </w:r>
          </w:p>
        </w:tc>
        <w:tc>
          <w:tcPr>
            <w:tcW w:type="dxa" w:w="2160"/>
          </w:tcPr>
          <w:p>
            <w:r>
              <w:rPr>
                <w:sz w:val="16"/>
              </w:rPr>
              <w:t>Art. 28 — DPA</w:t>
            </w:r>
          </w:p>
        </w:tc>
      </w:tr>
      <w:tr>
        <w:tc>
          <w:tcPr>
            <w:tcW w:type="dxa" w:w="2160"/>
          </w:tcPr>
          <w:p>
            <w:r>
              <w:rPr>
                <w:sz w:val="16"/>
              </w:rPr>
              <w:t>Cloudflare</w:t>
            </w:r>
          </w:p>
        </w:tc>
        <w:tc>
          <w:tcPr>
            <w:tcW w:type="dxa" w:w="2160"/>
          </w:tcPr>
          <w:p>
            <w:r>
              <w:rPr>
                <w:sz w:val="16"/>
              </w:rPr>
              <w:t>Routage des alias e-mail watermarqués</w:t>
            </w:r>
          </w:p>
        </w:tc>
        <w:tc>
          <w:tcPr>
            <w:tcW w:type="dxa" w:w="2160"/>
          </w:tcPr>
          <w:p>
            <w:r>
              <w:rPr>
                <w:sz w:val="16"/>
              </w:rPr>
              <w:t>Réseau mondial (UE)</w:t>
            </w:r>
          </w:p>
        </w:tc>
        <w:tc>
          <w:tcPr>
            <w:tcW w:type="dxa" w:w="2160"/>
          </w:tcPr>
          <w:p>
            <w:r>
              <w:rPr>
                <w:sz w:val="16"/>
              </w:rPr>
              <w:t>SCC (clauses types)</w:t>
            </w:r>
          </w:p>
        </w:tc>
      </w:tr>
      <w:tr>
        <w:tc>
          <w:tcPr>
            <w:tcW w:type="dxa" w:w="2160"/>
          </w:tcPr>
          <w:p>
            <w:r>
              <w:rPr>
                <w:sz w:val="16"/>
              </w:rPr>
              <w:t>DGFiP</w:t>
            </w:r>
          </w:p>
        </w:tc>
        <w:tc>
          <w:tcPr>
            <w:tcW w:type="dxa" w:w="2160"/>
          </w:tcPr>
          <w:p>
            <w:r>
              <w:rPr>
                <w:sz w:val="16"/>
              </w:rPr>
              <w:t>Transmission fiscale annuelle (DAC7)</w:t>
            </w:r>
          </w:p>
        </w:tc>
        <w:tc>
          <w:tcPr>
            <w:tcW w:type="dxa" w:w="2160"/>
          </w:tcPr>
          <w:p>
            <w:r>
              <w:rPr>
                <w:sz w:val="16"/>
              </w:rPr>
              <w:t>France</w:t>
            </w:r>
          </w:p>
        </w:tc>
        <w:tc>
          <w:tcPr>
            <w:tcW w:type="dxa" w:w="2160"/>
          </w:tcPr>
          <w:p>
            <w:r>
              <w:rPr>
                <w:sz w:val="16"/>
              </w:rPr>
              <w:t>Destinataire légal</w:t>
            </w:r>
          </w:p>
        </w:tc>
      </w:tr>
    </w:tbl>
    <w:p>
      <w:pPr>
        <w:pStyle w:val="Heading1"/>
      </w:pPr>
      <w:r>
        <w:rPr>
          <w:color w:val="4F46E5"/>
        </w:rPr>
        <w:t>8. Synthèse — mesure → preuve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Mesure</w:t>
            </w:r>
          </w:p>
        </w:tc>
        <w:tc>
          <w:tcPr>
            <w:tcW w:type="dxa" w:w="2880"/>
          </w:tcPr>
          <w:p>
            <w:r>
              <w:rPr>
                <w:b/>
                <w:sz w:val="16"/>
              </w:rPr>
              <w:t>Mise en œuvre</w:t>
            </w:r>
          </w:p>
        </w:tc>
        <w:tc>
          <w:tcPr>
            <w:tcW w:type="dxa" w:w="2880"/>
          </w:tcPr>
          <w:p>
            <w:r>
              <w:rPr>
                <w:b/>
                <w:sz w:val="16"/>
              </w:rPr>
              <w:t>Emplacement (preuve)</w:t>
            </w:r>
          </w:p>
        </w:tc>
      </w:tr>
      <w:tr>
        <w:tc>
          <w:tcPr>
            <w:tcW w:type="dxa" w:w="2880"/>
          </w:tcPr>
          <w:p>
            <w:r>
              <w:rPr>
                <w:sz w:val="16"/>
              </w:rPr>
              <w:t>Pseudonymisation à la lecture</w:t>
            </w:r>
          </w:p>
        </w:tc>
        <w:tc>
          <w:tcPr>
            <w:tcW w:type="dxa" w:w="2880"/>
          </w:tcPr>
          <w:p>
            <w:r>
              <w:rPr>
                <w:sz w:val="16"/>
              </w:rPr>
              <w:t>Masquage/généralisation/suppression côté serveur</w:t>
            </w:r>
          </w:p>
        </w:tc>
        <w:tc>
          <w:tcPr>
            <w:tcW w:type="dxa" w:w="2880"/>
          </w:tcPr>
          <w:p>
            <w:r>
              <w:rPr>
                <w:sz w:val="16"/>
              </w:rPr>
              <w:t>lib/pro/pseudonymize.ts</w:t>
            </w:r>
          </w:p>
        </w:tc>
      </w:tr>
      <w:tr>
        <w:tc>
          <w:tcPr>
            <w:tcW w:type="dxa" w:w="2880"/>
          </w:tcPr>
          <w:p>
            <w:r>
              <w:rPr>
                <w:sz w:val="16"/>
              </w:rPr>
              <w:t>E-mail watermarqué</w:t>
            </w:r>
          </w:p>
        </w:tc>
        <w:tc>
          <w:tcPr>
            <w:tcW w:type="dxa" w:w="2880"/>
          </w:tcPr>
          <w:p>
            <w:r>
              <w:rPr>
                <w:sz w:val="16"/>
              </w:rPr>
              <w:t>Alias unique par relation</w:t>
            </w:r>
          </w:p>
        </w:tc>
        <w:tc>
          <w:tcPr>
            <w:tcW w:type="dxa" w:w="2880"/>
          </w:tcPr>
          <w:p>
            <w:r>
              <w:rPr>
                <w:sz w:val="16"/>
              </w:rPr>
              <w:t>lib/aliases/relation-email.ts</w:t>
            </w:r>
          </w:p>
        </w:tc>
      </w:tr>
      <w:tr>
        <w:tc>
          <w:tcPr>
            <w:tcW w:type="dxa" w:w="2880"/>
          </w:tcPr>
          <w:p>
            <w:r>
              <w:rPr>
                <w:sz w:val="16"/>
              </w:rPr>
              <w:t>Unicité IBAN/téléphone/rôle</w:t>
            </w:r>
          </w:p>
        </w:tc>
        <w:tc>
          <w:tcPr>
            <w:tcW w:type="dxa" w:w="2880"/>
          </w:tcPr>
          <w:p>
            <w:r>
              <w:rPr>
                <w:sz w:val="16"/>
              </w:rPr>
              <w:t>Index UNIQUE + trigger 23505</w:t>
            </w:r>
          </w:p>
        </w:tc>
        <w:tc>
          <w:tcPr>
            <w:tcW w:type="dxa" w:w="2880"/>
          </w:tcPr>
          <w:p>
            <w:r>
              <w:rPr>
                <w:sz w:val="16"/>
              </w:rPr>
              <w:t>migrations 2026050715/16/08…</w:t>
            </w:r>
          </w:p>
        </w:tc>
      </w:tr>
      <w:tr>
        <w:tc>
          <w:tcPr>
            <w:tcW w:type="dxa" w:w="2880"/>
          </w:tcPr>
          <w:p>
            <w:r>
              <w:rPr>
                <w:sz w:val="16"/>
              </w:rPr>
              <w:t>Honeypots</w:t>
            </w:r>
          </w:p>
        </w:tc>
        <w:tc>
          <w:tcPr>
            <w:tcW w:type="dxa" w:w="2880"/>
          </w:tcPr>
          <w:p>
            <w:r>
              <w:rPr>
                <w:sz w:val="16"/>
              </w:rPr>
              <w:t>Champ caché 'website'</w:t>
            </w:r>
          </w:p>
        </w:tc>
        <w:tc>
          <w:tcPr>
            <w:tcW w:type="dxa" w:w="2880"/>
          </w:tcPr>
          <w:p>
            <w:r>
              <w:rPr>
                <w:sz w:val="16"/>
              </w:rPr>
              <w:t>ContactDpoForm.tsx ; HomeContactSection.tsx</w:t>
            </w:r>
          </w:p>
        </w:tc>
      </w:tr>
      <w:tr>
        <w:tc>
          <w:tcPr>
            <w:tcW w:type="dxa" w:w="2880"/>
          </w:tcPr>
          <w:p>
            <w:r>
              <w:rPr>
                <w:sz w:val="16"/>
              </w:rPr>
              <w:t>Journal des révélations</w:t>
            </w:r>
          </w:p>
        </w:tc>
        <w:tc>
          <w:tcPr>
            <w:tcW w:type="dxa" w:w="2880"/>
          </w:tcPr>
          <w:p>
            <w:r>
              <w:rPr>
                <w:sz w:val="16"/>
              </w:rPr>
              <w:t>qui/quoi/quand</w:t>
            </w:r>
          </w:p>
        </w:tc>
        <w:tc>
          <w:tcPr>
            <w:tcW w:type="dxa" w:w="2880"/>
          </w:tcPr>
          <w:p>
            <w:r>
              <w:rPr>
                <w:sz w:val="16"/>
              </w:rPr>
              <w:t>table pro_contact_reveals</w:t>
            </w:r>
          </w:p>
        </w:tc>
      </w:tr>
      <w:tr>
        <w:tc>
          <w:tcPr>
            <w:tcW w:type="dxa" w:w="2880"/>
          </w:tcPr>
          <w:p>
            <w:r>
              <w:rPr>
                <w:sz w:val="16"/>
              </w:rPr>
              <w:t>Audit fail-closed</w:t>
            </w:r>
          </w:p>
        </w:tc>
        <w:tc>
          <w:tcPr>
            <w:tcW w:type="dxa" w:w="2880"/>
          </w:tcPr>
          <w:p>
            <w:r>
              <w:rPr>
                <w:sz w:val="16"/>
              </w:rPr>
              <w:t>Pas de journal → pas de révélation</w:t>
            </w:r>
          </w:p>
        </w:tc>
        <w:tc>
          <w:tcPr>
            <w:tcW w:type="dxa" w:w="2880"/>
          </w:tcPr>
          <w:p>
            <w:r>
              <w:rPr>
                <w:sz w:val="16"/>
              </w:rPr>
              <w:t>.../reveal|details|group-reveal</w:t>
            </w:r>
          </w:p>
        </w:tc>
      </w:tr>
      <w:tr>
        <w:tc>
          <w:tcPr>
            <w:tcW w:type="dxa" w:w="2880"/>
          </w:tcPr>
          <w:p>
            <w:r>
              <w:rPr>
                <w:sz w:val="16"/>
              </w:rPr>
              <w:t>Journal append-only</w:t>
            </w:r>
          </w:p>
        </w:tc>
        <w:tc>
          <w:tcPr>
            <w:tcW w:type="dxa" w:w="2880"/>
          </w:tcPr>
          <w:p>
            <w:r>
              <w:rPr>
                <w:sz w:val="16"/>
              </w:rPr>
              <w:t>Trigger anti-UPDATE</w:t>
            </w:r>
          </w:p>
        </w:tc>
        <w:tc>
          <w:tcPr>
            <w:tcW w:type="dxa" w:w="2880"/>
          </w:tcPr>
          <w:p>
            <w:r>
              <w:rPr>
                <w:sz w:val="16"/>
              </w:rPr>
              <w:t>20260718120000_…_append_only.sql</w:t>
            </w:r>
          </w:p>
        </w:tc>
      </w:tr>
      <w:tr>
        <w:tc>
          <w:tcPr>
            <w:tcW w:type="dxa" w:w="2880"/>
          </w:tcPr>
          <w:p>
            <w:r>
              <w:rPr>
                <w:sz w:val="16"/>
              </w:rPr>
              <w:t>Rétention 24 mois</w:t>
            </w:r>
          </w:p>
        </w:tc>
        <w:tc>
          <w:tcPr>
            <w:tcW w:type="dxa" w:w="2880"/>
          </w:tcPr>
          <w:p>
            <w:r>
              <w:rPr>
                <w:sz w:val="16"/>
              </w:rPr>
              <w:t>Purge quotidienne</w:t>
            </w:r>
          </w:p>
        </w:tc>
        <w:tc>
          <w:tcPr>
            <w:tcW w:type="dxa" w:w="2880"/>
          </w:tcPr>
          <w:p>
            <w:r>
              <w:rPr>
                <w:sz w:val="16"/>
              </w:rPr>
              <w:t>lib/pro/reveals-retention.ts</w:t>
            </w:r>
          </w:p>
        </w:tc>
      </w:tr>
      <w:tr>
        <w:tc>
          <w:tcPr>
            <w:tcW w:type="dxa" w:w="2880"/>
          </w:tcPr>
          <w:p>
            <w:r>
              <w:rPr>
                <w:sz w:val="16"/>
              </w:rPr>
              <w:t>RLS / Rate-limit / Auth</w:t>
            </w:r>
          </w:p>
        </w:tc>
        <w:tc>
          <w:tcPr>
            <w:tcW w:type="dxa" w:w="2880"/>
          </w:tcPr>
          <w:p>
            <w:r>
              <w:rPr>
                <w:sz w:val="16"/>
              </w:rPr>
              <w:t>service_role only ; limites ; Clerk</w:t>
            </w:r>
          </w:p>
        </w:tc>
        <w:tc>
          <w:tcPr>
            <w:tcW w:type="dxa" w:w="2880"/>
          </w:tcPr>
          <w:p>
            <w:r>
              <w:rPr>
                <w:sz w:val="16"/>
              </w:rPr>
              <w:t>proxy.ts ; lib/rate-limit/check.ts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