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60"/>
        </w:rPr>
        <w:t>BUUPP</w:t>
      </w:r>
    </w:p>
    <w:p>
      <w:pPr>
        <w:jc w:val="center"/>
      </w:pPr>
      <w:r>
        <w:rPr>
          <w:sz w:val="32"/>
        </w:rPr>
        <w:t>Référentiel des durées de conservation</w:t>
      </w:r>
    </w:p>
    <w:p>
      <w:pPr>
        <w:jc w:val="center"/>
      </w:pPr>
      <w:r>
        <w:rPr>
          <w:i/>
          <w:color w:val="475565"/>
          <w:sz w:val="22"/>
        </w:rPr>
        <w:t>Cycle de vie des données — base active / archivage / suppression</w:t>
      </w:r>
    </w:p>
    <w:p/>
    <w:p>
      <w:pPr>
        <w:jc w:val="center"/>
      </w:pPr>
      <w:r>
        <w:rPr>
          <w:b/>
        </w:rPr>
        <w:t xml:space="preserve">Responsable de traitement : </w:t>
      </w:r>
      <w:r>
        <w:t>Majelink (éditeur de la plateforme BUUPP) — RCS Pau 892 514 167 — 12 Impasse des Étriers, 64140 Lons</w:t>
        <w:br/>
      </w:r>
      <w:r>
        <w:t>Chargé à la protection des données : dp.buupp@buupp.com</w:t>
        <w:br/>
      </w:r>
      <w:r>
        <w:t>Version : 14/06/2026</w:t>
      </w:r>
    </w:p>
    <w:p>
      <w:r>
        <w:rPr>
          <w:i/>
          <w:color w:val="B45309"/>
          <w:sz w:val="17"/>
        </w:rPr>
        <w:t>Document de travail ancré sur le système en production (politique de confidentialité publiée, base de données, code source). Les arbitrages juridiques (bases légales, durées, désignation du DPO) doivent être validés par le DPO / le conseil juridique. Les champs marqués « [À COMPLÉTER] » requièrent une décision du responsable de traitement. Ce document ne constitue pas un avis juridique.</w:t>
      </w:r>
    </w:p>
    <w:p>
      <w:r>
        <w:br w:type="page"/>
      </w:r>
    </w:p>
    <w:p>
      <w:pPr>
        <w:pStyle w:val="Heading1"/>
      </w:pPr>
      <w:r>
        <w:rPr>
          <w:color w:val="4F46E5"/>
        </w:rPr>
        <w:t>Méthode</w:t>
      </w:r>
    </w:p>
    <w:p>
      <w:r>
        <w:rPr>
          <w:b w:val="0"/>
          <w:i w:val="0"/>
        </w:rPr>
        <w:t>Conformément au principe de limitation de la conservation (art. 5.1.e RGPD) et à la méthode CNIL du cycle de vie des données, chaque catégorie est conservée :</w:t>
      </w:r>
    </w:p>
    <w:p>
      <w:pPr>
        <w:pStyle w:val="ListBullet"/>
      </w:pPr>
      <w:r>
        <w:t>en BASE ACTIVE le temps strictement nécessaire à la finalité ;</w:t>
      </w:r>
    </w:p>
    <w:p>
      <w:pPr>
        <w:pStyle w:val="ListBullet"/>
      </w:pPr>
      <w:r>
        <w:t>puis, le cas échéant, en ARCHIVAGE INTERMÉDIAIRE (accès restreint) pour une obligation légale ou un besoin de preuve ;</w:t>
      </w:r>
    </w:p>
    <w:p>
      <w:pPr>
        <w:pStyle w:val="ListBullet"/>
      </w:pPr>
      <w:r>
        <w:t>puis SUPPRESSION définitive ou anonymisation.</w:t>
      </w:r>
    </w:p>
    <w:p>
      <w:r>
        <w:rPr>
          <w:b w:val="0"/>
          <w:i/>
          <w:sz w:val="18"/>
        </w:rPr>
        <w:t>Les durées reprennent la politique de confidentialité publiée et les recommandations / obligations applicables (CNIL, Code de commerce, CGI, LCEN).</w:t>
      </w:r>
    </w:p>
    <w:p>
      <w:pPr>
        <w:pStyle w:val="Heading1"/>
      </w:pPr>
      <w:r>
        <w:rPr>
          <w:color w:val="4F46E5"/>
        </w:rPr>
        <w:t>Tableau des durées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6"/>
              </w:rPr>
              <w:t>Catégorie de données</w:t>
            </w:r>
          </w:p>
        </w:tc>
        <w:tc>
          <w:tcPr>
            <w:tcW w:type="dxa" w:w="2160"/>
          </w:tcPr>
          <w:p>
            <w:r>
              <w:rPr>
                <w:b/>
                <w:sz w:val="16"/>
              </w:rPr>
              <w:t>Base active</w:t>
            </w:r>
          </w:p>
        </w:tc>
        <w:tc>
          <w:tcPr>
            <w:tcW w:type="dxa" w:w="2160"/>
          </w:tcPr>
          <w:p>
            <w:r>
              <w:rPr>
                <w:b/>
                <w:sz w:val="16"/>
              </w:rPr>
              <w:t>Archivage / suppression</w:t>
            </w:r>
          </w:p>
        </w:tc>
        <w:tc>
          <w:tcPr>
            <w:tcW w:type="dxa" w:w="2160"/>
          </w:tcPr>
          <w:p>
            <w:r>
              <w:rPr>
                <w:b/>
                <w:sz w:val="16"/>
              </w:rPr>
              <w:t>Justification &amp; référence</w:t>
            </w:r>
          </w:p>
        </w:tc>
      </w:tr>
      <w:tr>
        <w:tc>
          <w:tcPr>
            <w:tcW w:type="dxa" w:w="2160"/>
          </w:tcPr>
          <w:p>
            <w:r>
              <w:rPr>
                <w:sz w:val="16"/>
              </w:rPr>
              <w:t>Compte &amp; identité (prospect/pro)</w:t>
            </w:r>
          </w:p>
        </w:tc>
        <w:tc>
          <w:tcPr>
            <w:tcW w:type="dxa" w:w="2160"/>
          </w:tcPr>
          <w:p>
            <w:r>
              <w:rPr>
                <w:sz w:val="16"/>
              </w:rPr>
              <w:t>Durée du compte</w:t>
            </w:r>
          </w:p>
        </w:tc>
        <w:tc>
          <w:tcPr>
            <w:tcW w:type="dxa" w:w="2160"/>
          </w:tcPr>
          <w:p>
            <w:r>
              <w:rPr>
                <w:sz w:val="16"/>
              </w:rPr>
              <w:t>Suppression immédiate des données identifiantes à la clôture</w:t>
            </w:r>
          </w:p>
        </w:tc>
        <w:tc>
          <w:tcPr>
            <w:tcW w:type="dxa" w:w="2160"/>
          </w:tcPr>
          <w:p>
            <w:r>
              <w:rPr>
                <w:sz w:val="16"/>
              </w:rPr>
              <w:t>Nécessité au contrat (CNIL)</w:t>
            </w:r>
          </w:p>
        </w:tc>
      </w:tr>
      <w:tr>
        <w:tc>
          <w:tcPr>
            <w:tcW w:type="dxa" w:w="2160"/>
          </w:tcPr>
          <w:p>
            <w:r>
              <w:rPr>
                <w:sz w:val="16"/>
              </w:rPr>
              <w:t>Paliers 2-5 (profil facultatif)</w:t>
            </w:r>
          </w:p>
        </w:tc>
        <w:tc>
          <w:tcPr>
            <w:tcW w:type="dxa" w:w="2160"/>
          </w:tcPr>
          <w:p>
            <w:r>
              <w:rPr>
                <w:sz w:val="16"/>
              </w:rPr>
              <w:t>Durée du compte tant que le consentement est maintenu</w:t>
            </w:r>
          </w:p>
        </w:tc>
        <w:tc>
          <w:tcPr>
            <w:tcW w:type="dxa" w:w="2160"/>
          </w:tcPr>
          <w:p>
            <w:r>
              <w:rPr>
                <w:sz w:val="16"/>
              </w:rPr>
              <w:t>Effacement à la demande / au retrait du consentement</w:t>
            </w:r>
          </w:p>
        </w:tc>
        <w:tc>
          <w:tcPr>
            <w:tcW w:type="dxa" w:w="2160"/>
          </w:tcPr>
          <w:p>
            <w:r>
              <w:rPr>
                <w:sz w:val="16"/>
              </w:rPr>
              <w:t>Consentement (6.1.a) ; minimisation</w:t>
            </w:r>
          </w:p>
        </w:tc>
      </w:tr>
      <w:tr>
        <w:tc>
          <w:tcPr>
            <w:tcW w:type="dxa" w:w="2160"/>
          </w:tcPr>
          <w:p>
            <w:r>
              <w:rPr>
                <w:sz w:val="16"/>
              </w:rPr>
              <w:t>Transactions / pièces comptables / factures</w:t>
            </w:r>
          </w:p>
        </w:tc>
        <w:tc>
          <w:tcPr>
            <w:tcW w:type="dxa" w:w="2160"/>
          </w:tcPr>
          <w:p>
            <w:r>
              <w:rPr>
                <w:sz w:val="16"/>
              </w:rPr>
              <w:t>Durée de la relation</w:t>
            </w:r>
          </w:p>
        </w:tc>
        <w:tc>
          <w:tcPr>
            <w:tcW w:type="dxa" w:w="2160"/>
          </w:tcPr>
          <w:p>
            <w:r>
              <w:rPr>
                <w:sz w:val="16"/>
              </w:rPr>
              <w:t>Archivage 10 ans</w:t>
            </w:r>
          </w:p>
        </w:tc>
        <w:tc>
          <w:tcPr>
            <w:tcW w:type="dxa" w:w="2160"/>
          </w:tcPr>
          <w:p>
            <w:r>
              <w:rPr>
                <w:sz w:val="16"/>
              </w:rPr>
              <w:t>Art. L.123-22 Code de commerce ; LPF L.102 B</w:t>
            </w:r>
          </w:p>
        </w:tc>
      </w:tr>
      <w:tr>
        <w:tc>
          <w:tcPr>
            <w:tcW w:type="dxa" w:w="2160"/>
          </w:tcPr>
          <w:p>
            <w:r>
              <w:rPr>
                <w:sz w:val="16"/>
              </w:rPr>
              <w:t>Données fiscales (DAC7)</w:t>
            </w:r>
          </w:p>
        </w:tc>
        <w:tc>
          <w:tcPr>
            <w:tcW w:type="dxa" w:w="2160"/>
          </w:tcPr>
          <w:p>
            <w:r>
              <w:rPr>
                <w:sz w:val="16"/>
              </w:rPr>
              <w:t>Exercice en cours</w:t>
            </w:r>
          </w:p>
        </w:tc>
        <w:tc>
          <w:tcPr>
            <w:tcW w:type="dxa" w:w="2160"/>
          </w:tcPr>
          <w:p>
            <w:r>
              <w:rPr>
                <w:sz w:val="16"/>
              </w:rPr>
              <w:t>6 ans après la fin de l'exercice</w:t>
            </w:r>
          </w:p>
        </w:tc>
        <w:tc>
          <w:tcPr>
            <w:tcW w:type="dxa" w:w="2160"/>
          </w:tcPr>
          <w:p>
            <w:r>
              <w:rPr>
                <w:sz w:val="16"/>
              </w:rPr>
              <w:t>CGI art. 242 bis ; directive UE DAC7</w:t>
            </w:r>
          </w:p>
        </w:tc>
      </w:tr>
      <w:tr>
        <w:tc>
          <w:tcPr>
            <w:tcW w:type="dxa" w:w="2160"/>
          </w:tcPr>
          <w:p>
            <w:r>
              <w:rPr>
                <w:sz w:val="16"/>
              </w:rPr>
              <w:t>IBAN prospect (rémunération)</w:t>
            </w:r>
          </w:p>
        </w:tc>
        <w:tc>
          <w:tcPr>
            <w:tcW w:type="dxa" w:w="2160"/>
          </w:tcPr>
          <w:p>
            <w:r>
              <w:rPr>
                <w:sz w:val="16"/>
              </w:rPr>
              <w:t>Durée du compte</w:t>
            </w:r>
          </w:p>
        </w:tc>
        <w:tc>
          <w:tcPr>
            <w:tcW w:type="dxa" w:w="2160"/>
          </w:tcPr>
          <w:p>
            <w:r>
              <w:rPr>
                <w:sz w:val="16"/>
              </w:rPr>
              <w:t>Supprimé à la clôture ; preuve via pièce comptable</w:t>
            </w:r>
          </w:p>
        </w:tc>
        <w:tc>
          <w:tcPr>
            <w:tcW w:type="dxa" w:w="2160"/>
          </w:tcPr>
          <w:p>
            <w:r>
              <w:rPr>
                <w:sz w:val="16"/>
              </w:rPr>
              <w:t>CNIL : données bancaires = temps de la prestation</w:t>
            </w:r>
          </w:p>
        </w:tc>
      </w:tr>
      <w:tr>
        <w:tc>
          <w:tcPr>
            <w:tcW w:type="dxa" w:w="2160"/>
          </w:tcPr>
          <w:p>
            <w:r>
              <w:rPr>
                <w:sz w:val="16"/>
              </w:rPr>
              <w:t>Identifiant client Stripe (token)</w:t>
            </w:r>
          </w:p>
        </w:tc>
        <w:tc>
          <w:tcPr>
            <w:tcW w:type="dxa" w:w="2160"/>
          </w:tcPr>
          <w:p>
            <w:r>
              <w:rPr>
                <w:sz w:val="16"/>
              </w:rPr>
              <w:t>Durée du compte</w:t>
            </w:r>
          </w:p>
        </w:tc>
        <w:tc>
          <w:tcPr>
            <w:tcW w:type="dxa" w:w="2160"/>
          </w:tcPr>
          <w:p>
            <w:r>
              <w:rPr>
                <w:sz w:val="16"/>
              </w:rPr>
              <w:t>Supprimé à la clôture</w:t>
            </w:r>
          </w:p>
        </w:tc>
        <w:tc>
          <w:tcPr>
            <w:tcW w:type="dxa" w:w="2160"/>
          </w:tcPr>
          <w:p>
            <w:r>
              <w:rPr>
                <w:sz w:val="16"/>
              </w:rPr>
              <w:t>Donnée carte gérée par Stripe (RT distinct, PCI-DSS)</w:t>
            </w:r>
          </w:p>
        </w:tc>
      </w:tr>
      <w:tr>
        <w:tc>
          <w:tcPr>
            <w:tcW w:type="dxa" w:w="2160"/>
          </w:tcPr>
          <w:p>
            <w:r>
              <w:rPr>
                <w:sz w:val="16"/>
              </w:rPr>
              <w:t>Journal des révélations (pro_contact_reveals)</w:t>
            </w:r>
          </w:p>
        </w:tc>
        <w:tc>
          <w:tcPr>
            <w:tcW w:type="dxa" w:w="2160"/>
          </w:tcPr>
          <w:p>
            <w:r>
              <w:rPr>
                <w:sz w:val="16"/>
              </w:rPr>
              <w:t>Accès en base active</w:t>
            </w:r>
          </w:p>
        </w:tc>
        <w:tc>
          <w:tcPr>
            <w:tcW w:type="dxa" w:w="2160"/>
          </w:tcPr>
          <w:p>
            <w:r>
              <w:rPr>
                <w:sz w:val="16"/>
              </w:rPr>
              <w:t>24 mois puis purge quotidienne</w:t>
            </w:r>
          </w:p>
        </w:tc>
        <w:tc>
          <w:tcPr>
            <w:tcW w:type="dxa" w:w="2160"/>
          </w:tcPr>
          <w:p>
            <w:r>
              <w:rPr>
                <w:sz w:val="16"/>
              </w:rPr>
              <w:t>Accountability (art. 5.2) — durée validée</w:t>
            </w:r>
          </w:p>
        </w:tc>
      </w:tr>
      <w:tr>
        <w:tc>
          <w:tcPr>
            <w:tcW w:type="dxa" w:w="2160"/>
          </w:tcPr>
          <w:p>
            <w:r>
              <w:rPr>
                <w:sz w:val="16"/>
              </w:rPr>
              <w:t>Actions de contact / click-to-call (audit)</w:t>
            </w:r>
          </w:p>
        </w:tc>
        <w:tc>
          <w:tcPr>
            <w:tcW w:type="dxa" w:w="2160"/>
          </w:tcPr>
          <w:p>
            <w:r>
              <w:rPr>
                <w:sz w:val="16"/>
              </w:rPr>
              <w:t>—</w:t>
            </w:r>
          </w:p>
        </w:tc>
        <w:tc>
          <w:tcPr>
            <w:tcW w:type="dxa" w:w="2160"/>
          </w:tcPr>
          <w:p>
            <w:r>
              <w:rPr>
                <w:sz w:val="16"/>
              </w:rPr>
              <w:t>24 mois après l'événement</w:t>
            </w:r>
          </w:p>
        </w:tc>
        <w:tc>
          <w:tcPr>
            <w:tcW w:type="dxa" w:w="2160"/>
          </w:tcPr>
          <w:p>
            <w:r>
              <w:rPr>
                <w:sz w:val="16"/>
              </w:rPr>
              <w:t>Preuve en cas de litige / signalement</w:t>
            </w:r>
          </w:p>
        </w:tc>
      </w:tr>
      <w:tr>
        <w:tc>
          <w:tcPr>
            <w:tcW w:type="dxa" w:w="2160"/>
          </w:tcPr>
          <w:p>
            <w:r>
              <w:rPr>
                <w:sz w:val="16"/>
              </w:rPr>
              <w:t>Logs techniques et de sécurité</w:t>
            </w:r>
          </w:p>
        </w:tc>
        <w:tc>
          <w:tcPr>
            <w:tcW w:type="dxa" w:w="2160"/>
          </w:tcPr>
          <w:p>
            <w:r>
              <w:rPr>
                <w:sz w:val="16"/>
              </w:rPr>
              <w:t>—</w:t>
            </w:r>
          </w:p>
        </w:tc>
        <w:tc>
          <w:tcPr>
            <w:tcW w:type="dxa" w:w="2160"/>
          </w:tcPr>
          <w:p>
            <w:r>
              <w:rPr>
                <w:sz w:val="16"/>
              </w:rPr>
              <w:t>12 mois maximum</w:t>
            </w:r>
          </w:p>
        </w:tc>
        <w:tc>
          <w:tcPr>
            <w:tcW w:type="dxa" w:w="2160"/>
          </w:tcPr>
          <w:p>
            <w:r>
              <w:rPr>
                <w:sz w:val="16"/>
              </w:rPr>
              <w:t>CNIL ~6 mois ; LCEN (données de connexion) jusqu'à 1 an</w:t>
            </w:r>
          </w:p>
        </w:tc>
      </w:tr>
      <w:tr>
        <w:tc>
          <w:tcPr>
            <w:tcW w:type="dxa" w:w="2160"/>
          </w:tcPr>
          <w:p>
            <w:r>
              <w:rPr>
                <w:sz w:val="16"/>
              </w:rPr>
              <w:t>E-mails Pro → Prospect (contenu)</w:t>
            </w:r>
          </w:p>
        </w:tc>
        <w:tc>
          <w:tcPr>
            <w:tcW w:type="dxa" w:w="2160"/>
          </w:tcPr>
          <w:p>
            <w:r>
              <w:rPr>
                <w:sz w:val="16"/>
              </w:rPr>
              <w:t>—</w:t>
            </w:r>
          </w:p>
        </w:tc>
        <w:tc>
          <w:tcPr>
            <w:tcW w:type="dxa" w:w="2160"/>
          </w:tcPr>
          <w:p>
            <w:r>
              <w:rPr>
                <w:sz w:val="16"/>
              </w:rPr>
              <w:t>12 mois</w:t>
            </w:r>
          </w:p>
        </w:tc>
        <w:tc>
          <w:tcPr>
            <w:tcW w:type="dxa" w:w="2160"/>
          </w:tcPr>
          <w:p>
            <w:r>
              <w:rPr>
                <w:sz w:val="16"/>
              </w:rPr>
              <w:t>Audit anti-spam (intérêt légitime)</w:t>
            </w:r>
          </w:p>
        </w:tc>
      </w:tr>
      <w:tr>
        <w:tc>
          <w:tcPr>
            <w:tcW w:type="dxa" w:w="2160"/>
          </w:tcPr>
          <w:p>
            <w:r>
              <w:rPr>
                <w:sz w:val="16"/>
              </w:rPr>
              <w:t>Tracking pixel des broadcasts</w:t>
            </w:r>
          </w:p>
        </w:tc>
        <w:tc>
          <w:tcPr>
            <w:tcW w:type="dxa" w:w="2160"/>
          </w:tcPr>
          <w:p>
            <w:r>
              <w:rPr>
                <w:sz w:val="16"/>
              </w:rPr>
              <w:t>Consentement</w:t>
            </w:r>
          </w:p>
        </w:tc>
        <w:tc>
          <w:tcPr>
            <w:tcW w:type="dxa" w:w="2160"/>
          </w:tcPr>
          <w:p>
            <w:r>
              <w:rPr>
                <w:sz w:val="16"/>
              </w:rPr>
              <w:t>13 mois après envoi</w:t>
            </w:r>
          </w:p>
        </w:tc>
        <w:tc>
          <w:tcPr>
            <w:tcW w:type="dxa" w:w="2160"/>
          </w:tcPr>
          <w:p>
            <w:r>
              <w:rPr>
                <w:sz w:val="16"/>
              </w:rPr>
              <w:t>Aligné durée traceur CNIL</w:t>
            </w:r>
          </w:p>
        </w:tc>
      </w:tr>
      <w:tr>
        <w:tc>
          <w:tcPr>
            <w:tcW w:type="dxa" w:w="2160"/>
          </w:tcPr>
          <w:p>
            <w:r>
              <w:rPr>
                <w:sz w:val="16"/>
              </w:rPr>
              <w:t>IP hashées (waitlist)</w:t>
            </w:r>
          </w:p>
        </w:tc>
        <w:tc>
          <w:tcPr>
            <w:tcW w:type="dxa" w:w="2160"/>
          </w:tcPr>
          <w:p>
            <w:r>
              <w:rPr>
                <w:sz w:val="16"/>
              </w:rPr>
              <w:t>—</w:t>
            </w:r>
          </w:p>
        </w:tc>
        <w:tc>
          <w:tcPr>
            <w:tcW w:type="dxa" w:w="2160"/>
          </w:tcPr>
          <w:p>
            <w:r>
              <w:rPr>
                <w:sz w:val="16"/>
              </w:rPr>
              <w:t>12 mois</w:t>
            </w:r>
          </w:p>
        </w:tc>
        <w:tc>
          <w:tcPr>
            <w:tcW w:type="dxa" w:w="2160"/>
          </w:tcPr>
          <w:p>
            <w:r>
              <w:rPr>
                <w:sz w:val="16"/>
              </w:rPr>
              <w:t>Anti-bot ; IP pseudonymisée (hash salé)</w:t>
            </w:r>
          </w:p>
        </w:tc>
      </w:tr>
      <w:tr>
        <w:tc>
          <w:tcPr>
            <w:tcW w:type="dxa" w:w="2160"/>
          </w:tcPr>
          <w:p>
            <w:r>
              <w:rPr>
                <w:sz w:val="16"/>
              </w:rPr>
              <w:t>E-mails de prospection (non client)</w:t>
            </w:r>
          </w:p>
        </w:tc>
        <w:tc>
          <w:tcPr>
            <w:tcW w:type="dxa" w:w="2160"/>
          </w:tcPr>
          <w:p>
            <w:r>
              <w:rPr>
                <w:sz w:val="16"/>
              </w:rPr>
              <w:t>Jusqu'au lancement / à la réponse</w:t>
            </w:r>
          </w:p>
        </w:tc>
        <w:tc>
          <w:tcPr>
            <w:tcW w:type="dxa" w:w="2160"/>
          </w:tcPr>
          <w:p>
            <w:r>
              <w:rPr>
                <w:sz w:val="16"/>
              </w:rPr>
              <w:t>3 ans à compter du dernier contact</w:t>
            </w:r>
          </w:p>
        </w:tc>
        <w:tc>
          <w:tcPr>
            <w:tcW w:type="dxa" w:w="2160"/>
          </w:tcPr>
          <w:p>
            <w:r>
              <w:rPr>
                <w:sz w:val="16"/>
              </w:rPr>
              <w:t>Recommandation CNIL — prospection</w:t>
            </w:r>
          </w:p>
        </w:tc>
      </w:tr>
      <w:tr>
        <w:tc>
          <w:tcPr>
            <w:tcW w:type="dxa" w:w="2160"/>
          </w:tcPr>
          <w:p>
            <w:r>
              <w:rPr>
                <w:sz w:val="16"/>
              </w:rPr>
              <w:t>Cookies / traceurs non essentiels</w:t>
            </w:r>
          </w:p>
        </w:tc>
        <w:tc>
          <w:tcPr>
            <w:tcW w:type="dxa" w:w="2160"/>
          </w:tcPr>
          <w:p>
            <w:r>
              <w:rPr>
                <w:sz w:val="16"/>
              </w:rPr>
              <w:t>Dépôt soumis à consentement</w:t>
            </w:r>
          </w:p>
        </w:tc>
        <w:tc>
          <w:tcPr>
            <w:tcW w:type="dxa" w:w="2160"/>
          </w:tcPr>
          <w:p>
            <w:r>
              <w:rPr>
                <w:sz w:val="16"/>
              </w:rPr>
              <w:t>Traceur ≤ 13 mois ; infos ≤ 25 mois</w:t>
            </w:r>
          </w:p>
        </w:tc>
        <w:tc>
          <w:tcPr>
            <w:tcW w:type="dxa" w:w="2160"/>
          </w:tcPr>
          <w:p>
            <w:r>
              <w:rPr>
                <w:sz w:val="16"/>
              </w:rPr>
              <w:t>Délibérations CNIL 2020-091/092</w:t>
            </w:r>
          </w:p>
        </w:tc>
      </w:tr>
      <w:tr>
        <w:tc>
          <w:tcPr>
            <w:tcW w:type="dxa" w:w="2160"/>
          </w:tcPr>
          <w:p>
            <w:r>
              <w:rPr>
                <w:sz w:val="16"/>
              </w:rPr>
              <w:t>Mesure d'audience (Vercel Analytics)</w:t>
            </w:r>
          </w:p>
        </w:tc>
        <w:tc>
          <w:tcPr>
            <w:tcW w:type="dxa" w:w="2160"/>
          </w:tcPr>
          <w:p>
            <w:r>
              <w:rPr>
                <w:sz w:val="16"/>
              </w:rPr>
              <w:t>—</w:t>
            </w:r>
          </w:p>
        </w:tc>
        <w:tc>
          <w:tcPr>
            <w:tcW w:type="dxa" w:w="2160"/>
          </w:tcPr>
          <w:p>
            <w:r>
              <w:rPr>
                <w:sz w:val="16"/>
              </w:rPr>
              <w:t>Sans cookie ; agrégats</w:t>
            </w:r>
          </w:p>
        </w:tc>
        <w:tc>
          <w:tcPr>
            <w:tcW w:type="dxa" w:w="2160"/>
          </w:tcPr>
          <w:p>
            <w:r>
              <w:rPr>
                <w:sz w:val="16"/>
              </w:rPr>
              <w:t>Exemptée de consentement si conforme CNIL</w:t>
            </w:r>
          </w:p>
        </w:tc>
      </w:tr>
      <w:tr>
        <w:tc>
          <w:tcPr>
            <w:tcW w:type="dxa" w:w="2160"/>
          </w:tcPr>
          <w:p>
            <w:r>
              <w:rPr>
                <w:sz w:val="16"/>
              </w:rPr>
              <w:t>Demandes d'exercice de droits (DPO)</w:t>
            </w:r>
          </w:p>
        </w:tc>
        <w:tc>
          <w:tcPr>
            <w:tcW w:type="dxa" w:w="2160"/>
          </w:tcPr>
          <w:p>
            <w:r>
              <w:rPr>
                <w:sz w:val="16"/>
              </w:rPr>
              <w:t>Le temps du traitement</w:t>
            </w:r>
          </w:p>
        </w:tc>
        <w:tc>
          <w:tcPr>
            <w:tcW w:type="dxa" w:w="2160"/>
          </w:tcPr>
          <w:p>
            <w:r>
              <w:rPr>
                <w:sz w:val="16"/>
              </w:rPr>
              <w:t>Durée de preuve. [À COMPLÉTER]</w:t>
            </w:r>
          </w:p>
        </w:tc>
        <w:tc>
          <w:tcPr>
            <w:tcW w:type="dxa" w:w="2160"/>
          </w:tcPr>
          <w:p>
            <w:r>
              <w:rPr>
                <w:sz w:val="16"/>
              </w:rPr>
              <w:t>Obligation légale (art. 12 RGPD)</w:t>
            </w:r>
          </w:p>
        </w:tc>
      </w:tr>
      <w:tr>
        <w:tc>
          <w:tcPr>
            <w:tcW w:type="dxa" w:w="2160"/>
          </w:tcPr>
          <w:p>
            <w:r>
              <w:rPr>
                <w:sz w:val="16"/>
              </w:rPr>
              <w:t>Journal d'événements admin (admin_events)</w:t>
            </w:r>
          </w:p>
        </w:tc>
        <w:tc>
          <w:tcPr>
            <w:tcW w:type="dxa" w:w="2160"/>
          </w:tcPr>
          <w:p>
            <w:r>
              <w:rPr>
                <w:sz w:val="16"/>
              </w:rPr>
              <w:t>—</w:t>
            </w:r>
          </w:p>
        </w:tc>
        <w:tc>
          <w:tcPr>
            <w:tcW w:type="dxa" w:w="2160"/>
          </w:tcPr>
          <w:p>
            <w:r>
              <w:rPr>
                <w:sz w:val="16"/>
              </w:rPr>
              <w:t>12 mois (logs)</w:t>
            </w:r>
          </w:p>
        </w:tc>
        <w:tc>
          <w:tcPr>
            <w:tcW w:type="dxa" w:w="2160"/>
          </w:tcPr>
          <w:p>
            <w:r>
              <w:rPr>
                <w:sz w:val="16"/>
              </w:rPr>
              <w:t>Sécurité / supervision (intérêt légitime)</w:t>
            </w:r>
          </w:p>
        </w:tc>
      </w:tr>
    </w:tbl>
    <w:p>
      <w:pPr>
        <w:pStyle w:val="Heading1"/>
      </w:pPr>
      <w:r>
        <w:rPr>
          <w:color w:val="4F46E5"/>
        </w:rPr>
        <w:t>Mises en œuvre techniques de la purge</w:t>
      </w:r>
    </w:p>
    <w:p>
      <w:pPr>
        <w:pStyle w:val="ListBullet"/>
      </w:pPr>
      <w:r>
        <w:t>Journal des révélations : purge quotidienne (lib/pro/reveals-retention.ts, cron /api/admin/digest), 24 mois.</w:t>
      </w:r>
    </w:p>
    <w:p>
      <w:pPr>
        <w:pStyle w:val="ListBullet"/>
      </w:pPr>
      <w:r>
        <w:t>Bascule de durées CNIL : cron + configuration (lib/cnil/bascule.ts).</w:t>
      </w:r>
    </w:p>
    <w:p>
      <w:pPr>
        <w:pStyle w:val="ListBullet"/>
      </w:pPr>
      <w:r>
        <w:t>Effacement à la clôture : suppression des données identifiantes, archivage comptable des transactions (10 ans).</w:t>
      </w:r>
    </w:p>
    <w:p>
      <w:r>
        <w:rPr>
          <w:b w:val="0"/>
          <w:i/>
          <w:color w:val="B45309"/>
          <w:sz w:val="18"/>
        </w:rPr>
        <w:t>À finaliser : automatiser la purge des e-mails de prospection (3 ans), des logs (12 mois) et du tracking pixel (13 mois) si non planifiée ; arbitrer la durée des demandes DPO. [À COMPLÉTER]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