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0"/>
        </w:rPr>
        <w:t>BUUPP</w:t>
      </w:r>
    </w:p>
    <w:p>
      <w:pPr>
        <w:jc w:val="center"/>
      </w:pPr>
      <w:r>
        <w:rPr>
          <w:sz w:val="32"/>
        </w:rPr>
        <w:t>Registre des activités de traitement</w:t>
      </w:r>
    </w:p>
    <w:p>
      <w:pPr>
        <w:jc w:val="center"/>
      </w:pPr>
      <w:r>
        <w:rPr>
          <w:i/>
          <w:color w:val="475565"/>
          <w:sz w:val="22"/>
        </w:rPr>
        <w:t>RoPA — article 30 du RGPD</w:t>
      </w:r>
    </w:p>
    <w:p/>
    <w:p>
      <w:pPr>
        <w:jc w:val="center"/>
      </w:pPr>
      <w:r>
        <w:rPr>
          <w:b/>
        </w:rPr>
        <w:t xml:space="preserve">Responsable de traitement : </w:t>
      </w:r>
      <w:r>
        <w:t>Majelink (éditeur de la plateforme BUUPP) — RCS Pau 892 514 167 — 12 Impasse des Étriers, 64140 Lons</w:t>
        <w:br/>
      </w:r>
      <w:r>
        <w:t>Chargé à la protection des données : dp.buupp@buupp.com</w:t>
        <w:br/>
      </w:r>
      <w:r>
        <w:t>Version : 14/06/2026</w:t>
      </w:r>
    </w:p>
    <w:p>
      <w:r>
        <w:rPr>
          <w:i/>
          <w:color w:val="B45309"/>
          <w:sz w:val="17"/>
        </w:rPr>
        <w:t>Document de travail ancré sur le système en production (politique de confidentialité publiée, base de données, code source). Les arbitrages juridiques (bases légales, durées, désignation du DPO) doivent être validés par le DPO / le conseil juridique. Les champs marqués « [À COMPLÉTER] » requièrent une décision du responsable de traitement. Ce document ne constitue pas un avis juridique.</w:t>
      </w:r>
    </w:p>
    <w:p>
      <w:r>
        <w:br w:type="page"/>
      </w:r>
    </w:p>
    <w:p>
      <w:pPr>
        <w:pStyle w:val="Heading1"/>
      </w:pPr>
      <w:r>
        <w:rPr>
          <w:color w:val="4F46E5"/>
        </w:rPr>
        <w:t>Informations générales</w:t>
      </w:r>
    </w:p>
    <w:p>
      <w:pPr>
        <w:pStyle w:val="ListBullet"/>
      </w:pPr>
      <w:r>
        <w:rPr>
          <w:b/>
        </w:rPr>
        <w:t xml:space="preserve">Responsable de traitement : </w:t>
      </w:r>
      <w:r>
        <w:t>Majelink (éditeur de la plateforme BUUPP) — RCS Pau 892 514 167 — 12 Impasse des Étriers, 64140 Lons</w:t>
      </w:r>
    </w:p>
    <w:p>
      <w:pPr>
        <w:pStyle w:val="ListBullet"/>
      </w:pPr>
      <w:r>
        <w:rPr>
          <w:b/>
        </w:rPr>
        <w:t xml:space="preserve">DPO : </w:t>
      </w:r>
      <w:r>
        <w:t>dp.buupp@buupp.com</w:t>
      </w:r>
    </w:p>
    <w:p>
      <w:pPr>
        <w:pStyle w:val="ListBullet"/>
      </w:pPr>
      <w:r>
        <w:rPr>
          <w:b/>
        </w:rPr>
        <w:t xml:space="preserve">Catégories de personnes : </w:t>
      </w:r>
      <w:r>
        <w:t>Particuliers (« prospects »), professionnels clients, visiteurs (liste d'attente).</w:t>
      </w:r>
    </w:p>
    <w:p>
      <w:pPr>
        <w:pStyle w:val="ListBullet"/>
      </w:pPr>
      <w:r>
        <w:rPr>
          <w:b/>
        </w:rPr>
        <w:t xml:space="preserve">Transferts hors UE : </w:t>
      </w:r>
      <w:r>
        <w:t>Données de production hébergées dans l'UE (Supabase, Irlande). Certains sous-traitants (Vercel, Clerk, Cloudflare) sont aux États-Unis → clauses contractuelles types (SCC).</w:t>
      </w:r>
    </w:p>
    <w:p>
      <w:pPr>
        <w:pStyle w:val="Heading1"/>
      </w:pPr>
      <w:r>
        <w:rPr>
          <w:color w:val="4F46E5"/>
        </w:rPr>
        <w:t>Sous-traitants et destinataires (art. 28 / 30.1.d)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Sous-traitant</w:t>
            </w:r>
          </w:p>
        </w:tc>
        <w:tc>
          <w:tcPr>
            <w:tcW w:type="dxa" w:w="2160"/>
          </w:tcPr>
          <w:p>
            <w:r>
              <w:rPr>
                <w:b/>
                <w:sz w:val="16"/>
              </w:rPr>
              <w:t>Rôle</w:t>
            </w:r>
          </w:p>
        </w:tc>
        <w:tc>
          <w:tcPr>
            <w:tcW w:type="dxa" w:w="2160"/>
          </w:tcPr>
          <w:p>
            <w:r>
              <w:rPr>
                <w:b/>
                <w:sz w:val="16"/>
              </w:rPr>
              <w:t>Localisation</w:t>
            </w:r>
          </w:p>
        </w:tc>
        <w:tc>
          <w:tcPr>
            <w:tcW w:type="dxa" w:w="2160"/>
          </w:tcPr>
          <w:p>
            <w:r>
              <w:rPr>
                <w:b/>
                <w:sz w:val="16"/>
              </w:rPr>
              <w:t>Encadrement</w:t>
            </w:r>
          </w:p>
        </w:tc>
      </w:tr>
      <w:tr>
        <w:tc>
          <w:tcPr>
            <w:tcW w:type="dxa" w:w="2160"/>
          </w:tcPr>
          <w:p>
            <w:r>
              <w:rPr>
                <w:sz w:val="16"/>
              </w:rPr>
              <w:t>Supabase Inc.</w:t>
            </w:r>
          </w:p>
        </w:tc>
        <w:tc>
          <w:tcPr>
            <w:tcW w:type="dxa" w:w="2160"/>
          </w:tcPr>
          <w:p>
            <w:r>
              <w:rPr>
                <w:sz w:val="16"/>
              </w:rPr>
              <w:t>Base de données PostgreSQL + Storage</w:t>
            </w:r>
          </w:p>
        </w:tc>
        <w:tc>
          <w:tcPr>
            <w:tcW w:type="dxa" w:w="2160"/>
          </w:tcPr>
          <w:p>
            <w:r>
              <w:rPr>
                <w:sz w:val="16"/>
              </w:rPr>
              <w:t>UE — Irlande (eu-west-1)</w:t>
            </w:r>
          </w:p>
        </w:tc>
        <w:tc>
          <w:tcPr>
            <w:tcW w:type="dxa" w:w="2160"/>
          </w:tcPr>
          <w:p>
            <w:r>
              <w:rPr>
                <w:sz w:val="16"/>
              </w:rPr>
              <w:t>Art. 28 — DPA</w:t>
            </w:r>
          </w:p>
        </w:tc>
      </w:tr>
      <w:tr>
        <w:tc>
          <w:tcPr>
            <w:tcW w:type="dxa" w:w="2160"/>
          </w:tcPr>
          <w:p>
            <w:r>
              <w:rPr>
                <w:sz w:val="16"/>
              </w:rPr>
              <w:t>Vercel Inc.</w:t>
            </w:r>
          </w:p>
        </w:tc>
        <w:tc>
          <w:tcPr>
            <w:tcW w:type="dxa" w:w="2160"/>
          </w:tcPr>
          <w:p>
            <w:r>
              <w:rPr>
                <w:sz w:val="16"/>
              </w:rPr>
              <w:t>Hébergement de l'application</w:t>
            </w:r>
          </w:p>
        </w:tc>
        <w:tc>
          <w:tcPr>
            <w:tcW w:type="dxa" w:w="2160"/>
          </w:tcPr>
          <w:p>
            <w:r>
              <w:rPr>
                <w:sz w:val="16"/>
              </w:rPr>
              <w:t>États-Unis (servi en UE)</w:t>
            </w:r>
          </w:p>
        </w:tc>
        <w:tc>
          <w:tcPr>
            <w:tcW w:type="dxa" w:w="2160"/>
          </w:tcPr>
          <w:p>
            <w:r>
              <w:rPr>
                <w:sz w:val="16"/>
              </w:rPr>
              <w:t>SCC (clauses types)</w:t>
            </w:r>
          </w:p>
        </w:tc>
      </w:tr>
      <w:tr>
        <w:tc>
          <w:tcPr>
            <w:tcW w:type="dxa" w:w="2160"/>
          </w:tcPr>
          <w:p>
            <w:r>
              <w:rPr>
                <w:sz w:val="16"/>
              </w:rPr>
              <w:t>Clerk Inc.</w:t>
            </w:r>
          </w:p>
        </w:tc>
        <w:tc>
          <w:tcPr>
            <w:tcW w:type="dxa" w:w="2160"/>
          </w:tcPr>
          <w:p>
            <w:r>
              <w:rPr>
                <w:sz w:val="16"/>
              </w:rPr>
              <w:t>Authentification / identités</w:t>
            </w:r>
          </w:p>
        </w:tc>
        <w:tc>
          <w:tcPr>
            <w:tcW w:type="dxa" w:w="2160"/>
          </w:tcPr>
          <w:p>
            <w:r>
              <w:rPr>
                <w:sz w:val="16"/>
              </w:rPr>
              <w:t>États-Unis</w:t>
            </w:r>
          </w:p>
        </w:tc>
        <w:tc>
          <w:tcPr>
            <w:tcW w:type="dxa" w:w="2160"/>
          </w:tcPr>
          <w:p>
            <w:r>
              <w:rPr>
                <w:sz w:val="16"/>
              </w:rPr>
              <w:t>SCC (clauses types)</w:t>
            </w:r>
          </w:p>
        </w:tc>
      </w:tr>
      <w:tr>
        <w:tc>
          <w:tcPr>
            <w:tcW w:type="dxa" w:w="2160"/>
          </w:tcPr>
          <w:p>
            <w:r>
              <w:rPr>
                <w:sz w:val="16"/>
              </w:rPr>
              <w:t>Stripe Payments Europe Ltd</w:t>
            </w:r>
          </w:p>
        </w:tc>
        <w:tc>
          <w:tcPr>
            <w:tcW w:type="dxa" w:w="2160"/>
          </w:tcPr>
          <w:p>
            <w:r>
              <w:rPr>
                <w:sz w:val="16"/>
              </w:rPr>
              <w:t>Paiements, KYC, virements (Connect)</w:t>
            </w:r>
          </w:p>
        </w:tc>
        <w:tc>
          <w:tcPr>
            <w:tcW w:type="dxa" w:w="2160"/>
          </w:tcPr>
          <w:p>
            <w:r>
              <w:rPr>
                <w:sz w:val="16"/>
              </w:rPr>
              <w:t>UE — Irlande</w:t>
            </w:r>
          </w:p>
        </w:tc>
        <w:tc>
          <w:tcPr>
            <w:tcW w:type="dxa" w:w="2160"/>
          </w:tcPr>
          <w:p>
            <w:r>
              <w:rPr>
                <w:sz w:val="16"/>
              </w:rPr>
              <w:t>RT distinct (PCI-DSS)</w:t>
            </w:r>
          </w:p>
        </w:tc>
      </w:tr>
      <w:tr>
        <w:tc>
          <w:tcPr>
            <w:tcW w:type="dxa" w:w="2160"/>
          </w:tcPr>
          <w:p>
            <w:r>
              <w:rPr>
                <w:sz w:val="16"/>
              </w:rPr>
              <w:t>Brevo (Sendinblue SAS)</w:t>
            </w:r>
          </w:p>
        </w:tc>
        <w:tc>
          <w:tcPr>
            <w:tcW w:type="dxa" w:w="2160"/>
          </w:tcPr>
          <w:p>
            <w:r>
              <w:rPr>
                <w:sz w:val="16"/>
              </w:rPr>
              <w:t>E-mails et SMS transactionnels</w:t>
            </w:r>
          </w:p>
        </w:tc>
        <w:tc>
          <w:tcPr>
            <w:tcW w:type="dxa" w:w="2160"/>
          </w:tcPr>
          <w:p>
            <w:r>
              <w:rPr>
                <w:sz w:val="16"/>
              </w:rPr>
              <w:t>UE — France</w:t>
            </w:r>
          </w:p>
        </w:tc>
        <w:tc>
          <w:tcPr>
            <w:tcW w:type="dxa" w:w="2160"/>
          </w:tcPr>
          <w:p>
            <w:r>
              <w:rPr>
                <w:sz w:val="16"/>
              </w:rPr>
              <w:t>Art. 28 — DPA</w:t>
            </w:r>
          </w:p>
        </w:tc>
      </w:tr>
      <w:tr>
        <w:tc>
          <w:tcPr>
            <w:tcW w:type="dxa" w:w="2160"/>
          </w:tcPr>
          <w:p>
            <w:r>
              <w:rPr>
                <w:sz w:val="16"/>
              </w:rPr>
              <w:t>Cloudflare</w:t>
            </w:r>
          </w:p>
        </w:tc>
        <w:tc>
          <w:tcPr>
            <w:tcW w:type="dxa" w:w="2160"/>
          </w:tcPr>
          <w:p>
            <w:r>
              <w:rPr>
                <w:sz w:val="16"/>
              </w:rPr>
              <w:t>Routage des alias e-mail watermarqués</w:t>
            </w:r>
          </w:p>
        </w:tc>
        <w:tc>
          <w:tcPr>
            <w:tcW w:type="dxa" w:w="2160"/>
          </w:tcPr>
          <w:p>
            <w:r>
              <w:rPr>
                <w:sz w:val="16"/>
              </w:rPr>
              <w:t>Réseau mondial (UE)</w:t>
            </w:r>
          </w:p>
        </w:tc>
        <w:tc>
          <w:tcPr>
            <w:tcW w:type="dxa" w:w="2160"/>
          </w:tcPr>
          <w:p>
            <w:r>
              <w:rPr>
                <w:sz w:val="16"/>
              </w:rPr>
              <w:t>SCC (clauses types)</w:t>
            </w:r>
          </w:p>
        </w:tc>
      </w:tr>
      <w:tr>
        <w:tc>
          <w:tcPr>
            <w:tcW w:type="dxa" w:w="2160"/>
          </w:tcPr>
          <w:p>
            <w:r>
              <w:rPr>
                <w:sz w:val="16"/>
              </w:rPr>
              <w:t>DGFiP</w:t>
            </w:r>
          </w:p>
        </w:tc>
        <w:tc>
          <w:tcPr>
            <w:tcW w:type="dxa" w:w="2160"/>
          </w:tcPr>
          <w:p>
            <w:r>
              <w:rPr>
                <w:sz w:val="16"/>
              </w:rPr>
              <w:t>Transmission fiscale annuelle (DAC7)</w:t>
            </w:r>
          </w:p>
        </w:tc>
        <w:tc>
          <w:tcPr>
            <w:tcW w:type="dxa" w:w="2160"/>
          </w:tcPr>
          <w:p>
            <w:r>
              <w:rPr>
                <w:sz w:val="16"/>
              </w:rPr>
              <w:t>France</w:t>
            </w:r>
          </w:p>
        </w:tc>
        <w:tc>
          <w:tcPr>
            <w:tcW w:type="dxa" w:w="2160"/>
          </w:tcPr>
          <w:p>
            <w:r>
              <w:rPr>
                <w:sz w:val="16"/>
              </w:rPr>
              <w:t>Destinataire légal</w:t>
            </w:r>
          </w:p>
        </w:tc>
      </w:tr>
    </w:tbl>
    <w:p>
      <w:r>
        <w:rPr>
          <w:b w:val="0"/>
          <w:i/>
          <w:sz w:val="18"/>
        </w:rPr>
        <w:t>Les professionnels destinataires d'une sollicitation acceptée deviennent responsables de traitement distincts pour les seules coordonnées révélées. Tenir à jour les DPA (art. 28). [À COMPLÉTER : dates de signature des DPA]</w:t>
      </w:r>
    </w:p>
    <w:p>
      <w:pPr>
        <w:pStyle w:val="Heading1"/>
      </w:pPr>
      <w:r>
        <w:rPr>
          <w:color w:val="4F46E5"/>
        </w:rPr>
        <w:t>Fiches de traitement</w:t>
      </w:r>
    </w:p>
    <w:p>
      <w:r>
        <w:rPr>
          <w:b w:val="0"/>
          <w:i w:val="0"/>
          <w:sz w:val="18"/>
        </w:rPr>
        <w:t>Mesures de sécurité communes : hébergement UE, chiffrement (TLS + au repos), authentification Clerk + middleware, RLS, rate-limiting, pseudonymisation à la lecture, journalisation des accès (fail-closed + append-only), anti-fraude.</w:t>
      </w:r>
    </w:p>
    <w:p>
      <w:pPr>
        <w:pStyle w:val="Heading2"/>
      </w:pPr>
      <w:r>
        <w:rPr>
          <w:color w:val="0F172A"/>
        </w:rPr>
        <w:t>T1 — Gestion des comptes utilisateurs</w:t>
      </w:r>
    </w:p>
    <w:p>
      <w:pPr>
        <w:pStyle w:val="ListBullet"/>
      </w:pPr>
      <w:r>
        <w:rPr>
          <w:b/>
        </w:rPr>
        <w:t xml:space="preserve">Finalité : </w:t>
      </w:r>
      <w:r>
        <w:t>Création / gestion du compte, vérification e-mail et téléphone, sécurité.</w:t>
      </w:r>
    </w:p>
    <w:p>
      <w:pPr>
        <w:pStyle w:val="ListBullet"/>
      </w:pPr>
      <w:r>
        <w:rPr>
          <w:b/>
        </w:rPr>
        <w:t xml:space="preserve">Base légale : </w:t>
      </w:r>
      <w:r>
        <w:t>Exécution du contrat (art. 6.1.b) ; vérification téléphone : intérêt légitime / sécurité.</w:t>
      </w:r>
    </w:p>
    <w:p>
      <w:pPr>
        <w:pStyle w:val="ListBullet"/>
      </w:pPr>
      <w:r>
        <w:rPr>
          <w:b/>
        </w:rPr>
        <w:t xml:space="preserve">Personnes concernées : </w:t>
      </w:r>
      <w:r>
        <w:t>Prospects, professionnels.</w:t>
      </w:r>
    </w:p>
    <w:p>
      <w:pPr>
        <w:pStyle w:val="ListBullet"/>
      </w:pPr>
      <w:r>
        <w:rPr>
          <w:b/>
        </w:rPr>
        <w:t xml:space="preserve">Catégories de données : </w:t>
      </w:r>
      <w:r>
        <w:t>Authentification (id Clerk, e-mail, méthode de connexion) ; Palier 1 identité prospect (prénom, nom, e-mail, téléphone vérifié SMS, date de naissance, genre, nationalité) ; profil pro (raison sociale, SIREN/SIRET, forme juridique, RCS, adresse).</w:t>
      </w:r>
    </w:p>
    <w:p>
      <w:pPr>
        <w:pStyle w:val="ListBullet"/>
      </w:pPr>
      <w:r>
        <w:rPr>
          <w:b/>
        </w:rPr>
        <w:t xml:space="preserve">Destinataires / sous-traitants : </w:t>
      </w:r>
      <w:r>
        <w:t>Personnels habilités Majelink ; Clerk ; Brevo ; Stripe (KYC pro).</w:t>
      </w:r>
    </w:p>
    <w:p>
      <w:pPr>
        <w:pStyle w:val="ListBullet"/>
      </w:pPr>
      <w:r>
        <w:rPr>
          <w:b/>
        </w:rPr>
        <w:t xml:space="preserve">Durée de conservation : </w:t>
      </w:r>
      <w:r>
        <w:t>Durée du compte ; suppression des données identifiantes à la clôture.</w:t>
      </w:r>
    </w:p>
    <w:p>
      <w:pPr>
        <w:pStyle w:val="ListBullet"/>
      </w:pPr>
      <w:r>
        <w:rPr>
          <w:b/>
        </w:rPr>
        <w:t xml:space="preserve">Particularités / mesures : </w:t>
      </w:r>
      <w:r>
        <w:t>Téléphone vérifié par OTP ; unicité téléphone/IBAN/e-mail.</w:t>
      </w:r>
    </w:p>
    <w:p>
      <w:pPr>
        <w:pStyle w:val="Heading2"/>
      </w:pPr>
      <w:r>
        <w:rPr>
          <w:color w:val="0F172A"/>
        </w:rPr>
        <w:t>T2 — Données de profil par paliers (2 à 5)</w:t>
      </w:r>
    </w:p>
    <w:p>
      <w:pPr>
        <w:pStyle w:val="ListBullet"/>
      </w:pPr>
      <w:r>
        <w:rPr>
          <w:b/>
        </w:rPr>
        <w:t xml:space="preserve">Finalité : </w:t>
      </w:r>
      <w:r>
        <w:t>Enrichissement facultatif du profil pour la mise en relation ciblée.</w:t>
      </w:r>
    </w:p>
    <w:p>
      <w:pPr>
        <w:pStyle w:val="ListBullet"/>
      </w:pPr>
      <w:r>
        <w:rPr>
          <w:b/>
        </w:rPr>
        <w:t xml:space="preserve">Base légale : </w:t>
      </w:r>
      <w:r>
        <w:t>Consentement (art. 6.1.a) — paliers 2 à 5 facultatifs.</w:t>
      </w:r>
    </w:p>
    <w:p>
      <w:pPr>
        <w:pStyle w:val="ListBullet"/>
      </w:pPr>
      <w:r>
        <w:rPr>
          <w:b/>
        </w:rPr>
        <w:t xml:space="preserve">Personnes concernées : </w:t>
      </w:r>
      <w:r>
        <w:t>Prospects.</w:t>
      </w:r>
    </w:p>
    <w:p>
      <w:pPr>
        <w:pStyle w:val="ListBullet"/>
      </w:pPr>
      <w:r>
        <w:rPr>
          <w:b/>
        </w:rPr>
        <w:t xml:space="preserve">Catégories de données : </w:t>
      </w:r>
      <w:r>
        <w:t>Localisation (adresse, CP, ville, région, logement, mobilité) ; style de vie (famille, véhicule, sport, animaux) ; données professionnelles (poste, revenus, statut, secteur) ; patrimoine &amp; projets (propriétaire/locataire, épargne, projet immobilier, succession, création d'entreprise).</w:t>
      </w:r>
    </w:p>
    <w:p>
      <w:pPr>
        <w:pStyle w:val="ListBullet"/>
      </w:pPr>
      <w:r>
        <w:rPr>
          <w:b/>
        </w:rPr>
        <w:t xml:space="preserve">Destinataires / sous-traitants : </w:t>
      </w:r>
      <w:r>
        <w:t>Personnels habilités Majelink ; transmis pseudonymisés aux pros (cf. T4).</w:t>
      </w:r>
    </w:p>
    <w:p>
      <w:pPr>
        <w:pStyle w:val="ListBullet"/>
      </w:pPr>
      <w:r>
        <w:rPr>
          <w:b/>
        </w:rPr>
        <w:t xml:space="preserve">Durée de conservation : </w:t>
      </w:r>
      <w:r>
        <w:t>Durée du compte ; effacement au retrait du consentement.</w:t>
      </w:r>
    </w:p>
    <w:p>
      <w:pPr>
        <w:pStyle w:val="ListBullet"/>
      </w:pPr>
      <w:r>
        <w:rPr>
          <w:b/>
        </w:rPr>
        <w:t xml:space="preserve">Particularités / mesures : </w:t>
      </w:r>
      <w:r>
        <w:t>Données financières (revenus, patrimoine) = hautement personnelles → AIPD.</w:t>
      </w:r>
    </w:p>
    <w:p>
      <w:pPr>
        <w:pStyle w:val="Heading2"/>
      </w:pPr>
      <w:r>
        <w:rPr>
          <w:color w:val="0F172A"/>
        </w:rPr>
        <w:t>T3 — Mise en relation rémunérée (double consentement)</w:t>
      </w:r>
    </w:p>
    <w:p>
      <w:pPr>
        <w:pStyle w:val="ListBullet"/>
      </w:pPr>
      <w:r>
        <w:rPr>
          <w:b/>
        </w:rPr>
        <w:t xml:space="preserve">Finalité : </w:t>
      </w:r>
      <w:r>
        <w:t>Ciblage par palier, acceptation des sollicitations, calcul de la rémunération, traçabilité.</w:t>
      </w:r>
    </w:p>
    <w:p>
      <w:pPr>
        <w:pStyle w:val="ListBullet"/>
      </w:pPr>
      <w:r>
        <w:rPr>
          <w:b/>
        </w:rPr>
        <w:t xml:space="preserve">Base légale : </w:t>
      </w:r>
      <w:r>
        <w:t>Exécution du contrat (6.1.b) ; acceptation : consentement (6.1.a).</w:t>
      </w:r>
    </w:p>
    <w:p>
      <w:pPr>
        <w:pStyle w:val="ListBullet"/>
      </w:pPr>
      <w:r>
        <w:rPr>
          <w:b/>
        </w:rPr>
        <w:t xml:space="preserve">Personnes concernées : </w:t>
      </w:r>
      <w:r>
        <w:t>Prospects, professionnels.</w:t>
      </w:r>
    </w:p>
    <w:p>
      <w:pPr>
        <w:pStyle w:val="ListBullet"/>
      </w:pPr>
      <w:r>
        <w:rPr>
          <w:b/>
        </w:rPr>
        <w:t xml:space="preserve">Catégories de données : </w:t>
      </w:r>
      <w:r>
        <w:t>Sollicitations, acceptations/refus, motif du pro, date de décision, code de campagne, évaluation post-contact.</w:t>
      </w:r>
    </w:p>
    <w:p>
      <w:pPr>
        <w:pStyle w:val="ListBullet"/>
      </w:pPr>
      <w:r>
        <w:rPr>
          <w:b/>
        </w:rPr>
        <w:t xml:space="preserve">Destinataires / sous-traitants : </w:t>
      </w:r>
      <w:r>
        <w:t>Prospect, professionnel concerné, personnels Majelink.</w:t>
      </w:r>
    </w:p>
    <w:p>
      <w:pPr>
        <w:pStyle w:val="ListBullet"/>
      </w:pPr>
      <w:r>
        <w:rPr>
          <w:b/>
        </w:rPr>
        <w:t xml:space="preserve">Durée de conservation : </w:t>
      </w:r>
      <w:r>
        <w:t>Durée du compte / archivage comptable (10 ans).</w:t>
      </w:r>
    </w:p>
    <w:p>
      <w:pPr>
        <w:pStyle w:val="ListBullet"/>
      </w:pPr>
      <w:r>
        <w:rPr>
          <w:b/>
        </w:rPr>
        <w:t xml:space="preserve">Particularités / mesures : </w:t>
      </w:r>
      <w:r>
        <w:t>Aucune donnée sans accord explicite ; séquestre jusqu'à clôture.</w:t>
      </w:r>
    </w:p>
    <w:p>
      <w:pPr>
        <w:pStyle w:val="Heading2"/>
      </w:pPr>
      <w:r>
        <w:rPr>
          <w:color w:val="0F172A"/>
        </w:rPr>
        <w:t>T4 — Pseudonymisation et transmission aux pros</w:t>
      </w:r>
    </w:p>
    <w:p>
      <w:pPr>
        <w:pStyle w:val="ListBullet"/>
      </w:pPr>
      <w:r>
        <w:rPr>
          <w:b/>
        </w:rPr>
        <w:t xml:space="preserve">Finalité : </w:t>
      </w:r>
      <w:r>
        <w:t>Transmettre un profil exploitable mais non directement identifiant.</w:t>
      </w:r>
    </w:p>
    <w:p>
      <w:pPr>
        <w:pStyle w:val="ListBullet"/>
      </w:pPr>
      <w:r>
        <w:rPr>
          <w:b/>
        </w:rPr>
        <w:t xml:space="preserve">Base légale : </w:t>
      </w:r>
      <w:r>
        <w:t>Exécution du contrat (6.1.b) ; consentement à la sollicitation (6.1.a).</w:t>
      </w:r>
    </w:p>
    <w:p>
      <w:pPr>
        <w:pStyle w:val="ListBullet"/>
      </w:pPr>
      <w:r>
        <w:rPr>
          <w:b/>
        </w:rPr>
        <w:t xml:space="preserve">Personnes concernées : </w:t>
      </w:r>
      <w:r>
        <w:t>Prospects.</w:t>
      </w:r>
    </w:p>
    <w:p>
      <w:pPr>
        <w:pStyle w:val="ListBullet"/>
      </w:pPr>
      <w:r>
        <w:rPr>
          <w:b/>
        </w:rPr>
        <w:t xml:space="preserve">Catégories de données : </w:t>
      </w:r>
      <w:r>
        <w:t>Profil pseudonymisé : nom masqué, e-mail → alias, naissance → tranche d'âge, CP → département, adresse/poste/revenus → supprimés.</w:t>
      </w:r>
    </w:p>
    <w:p>
      <w:pPr>
        <w:pStyle w:val="ListBullet"/>
      </w:pPr>
      <w:r>
        <w:rPr>
          <w:b/>
        </w:rPr>
        <w:t xml:space="preserve">Destinataires / sous-traitants : </w:t>
      </w:r>
      <w:r>
        <w:t>Professionnel destinataire (RT distinct pour les coordonnées révélées).</w:t>
      </w:r>
    </w:p>
    <w:p>
      <w:pPr>
        <w:pStyle w:val="ListBullet"/>
      </w:pPr>
      <w:r>
        <w:rPr>
          <w:b/>
        </w:rPr>
        <w:t xml:space="preserve">Durée de conservation : </w:t>
      </w:r>
      <w:r>
        <w:t>Journal des révélations : 24 mois.</w:t>
      </w:r>
    </w:p>
    <w:p>
      <w:pPr>
        <w:pStyle w:val="ListBullet"/>
      </w:pPr>
      <w:r>
        <w:rPr>
          <w:b/>
        </w:rPr>
        <w:t xml:space="preserve">Particularités / mesures : </w:t>
      </w:r>
      <w:r>
        <w:t>Réversible par BUUPP seul ; chaque révélation journalisée (fail-closed + append-only).</w:t>
      </w:r>
    </w:p>
    <w:p>
      <w:pPr>
        <w:pStyle w:val="Heading2"/>
      </w:pPr>
      <w:r>
        <w:rPr>
          <w:color w:val="0F172A"/>
        </w:rPr>
        <w:t>T5 — Calcul du BUUPP Score et segmentation</w:t>
      </w:r>
    </w:p>
    <w:p>
      <w:pPr>
        <w:pStyle w:val="ListBullet"/>
      </w:pPr>
      <w:r>
        <w:rPr>
          <w:b/>
        </w:rPr>
        <w:t xml:space="preserve">Finalité : </w:t>
      </w:r>
      <w:r>
        <w:t>Noter la qualité de profil et permettre la segmentation d'audience.</w:t>
      </w:r>
    </w:p>
    <w:p>
      <w:pPr>
        <w:pStyle w:val="ListBullet"/>
      </w:pPr>
      <w:r>
        <w:rPr>
          <w:b/>
        </w:rPr>
        <w:t xml:space="preserve">Base légale : </w:t>
      </w:r>
      <w:r>
        <w:t>Intérêt légitime (6.1.f). [À COMPLÉTER : balance des intérêts]</w:t>
      </w:r>
    </w:p>
    <w:p>
      <w:pPr>
        <w:pStyle w:val="ListBullet"/>
      </w:pPr>
      <w:r>
        <w:rPr>
          <w:b/>
        </w:rPr>
        <w:t xml:space="preserve">Personnes concernées : </w:t>
      </w:r>
      <w:r>
        <w:t>Prospects.</w:t>
      </w:r>
    </w:p>
    <w:p>
      <w:pPr>
        <w:pStyle w:val="ListBullet"/>
      </w:pPr>
      <w:r>
        <w:rPr>
          <w:b/>
        </w:rPr>
        <w:t xml:space="preserve">Catégories de données : </w:t>
      </w:r>
      <w:r>
        <w:t>Score (0-1000) dérivé des paliers ; facettes (score, région, distance, logement, statut pro, foyer, véhicule, animaux).</w:t>
      </w:r>
    </w:p>
    <w:p>
      <w:pPr>
        <w:pStyle w:val="ListBullet"/>
      </w:pPr>
      <w:r>
        <w:rPr>
          <w:b/>
        </w:rPr>
        <w:t xml:space="preserve">Destinataires / sous-traitants : </w:t>
      </w:r>
      <w:r>
        <w:t>Professionnels (vue agrégée + segments) ; personnels Majelink.</w:t>
      </w:r>
    </w:p>
    <w:p>
      <w:pPr>
        <w:pStyle w:val="ListBullet"/>
      </w:pPr>
      <w:r>
        <w:rPr>
          <w:b/>
        </w:rPr>
        <w:t xml:space="preserve">Durée de conservation : </w:t>
      </w:r>
      <w:r>
        <w:t>Durée du compte.</w:t>
      </w:r>
    </w:p>
    <w:p>
      <w:pPr>
        <w:pStyle w:val="ListBullet"/>
      </w:pPr>
      <w:r>
        <w:rPr>
          <w:b/>
        </w:rPr>
        <w:t xml:space="preserve">Particularités / mesures : </w:t>
      </w:r>
      <w:r>
        <w:t>Profilage + croisement → AIPD (art. 35).</w:t>
      </w:r>
    </w:p>
    <w:p>
      <w:pPr>
        <w:pStyle w:val="Heading2"/>
      </w:pPr>
      <w:r>
        <w:rPr>
          <w:color w:val="0F172A"/>
        </w:rPr>
        <w:t>T6 — Gestion financière et rémunération</w:t>
      </w:r>
    </w:p>
    <w:p>
      <w:pPr>
        <w:pStyle w:val="ListBullet"/>
      </w:pPr>
      <w:r>
        <w:rPr>
          <w:b/>
        </w:rPr>
        <w:t xml:space="preserve">Finalité : </w:t>
      </w:r>
      <w:r>
        <w:t>Recharge des portefeuilles pro, séquestre, débit, paiement et retrait sur IBAN prospect.</w:t>
      </w:r>
    </w:p>
    <w:p>
      <w:pPr>
        <w:pStyle w:val="ListBullet"/>
      </w:pPr>
      <w:r>
        <w:rPr>
          <w:b/>
        </w:rPr>
        <w:t xml:space="preserve">Base légale : </w:t>
      </w:r>
      <w:r>
        <w:t>Exécution du contrat (6.1.b).</w:t>
      </w:r>
    </w:p>
    <w:p>
      <w:pPr>
        <w:pStyle w:val="ListBullet"/>
      </w:pPr>
      <w:r>
        <w:rPr>
          <w:b/>
        </w:rPr>
        <w:t xml:space="preserve">Personnes concernées : </w:t>
      </w:r>
      <w:r>
        <w:t>Prospects, professionnels.</w:t>
      </w:r>
    </w:p>
    <w:p>
      <w:pPr>
        <w:pStyle w:val="ListBullet"/>
      </w:pPr>
      <w:r>
        <w:rPr>
          <w:b/>
        </w:rPr>
        <w:t xml:space="preserve">Catégories de données : </w:t>
      </w:r>
      <w:r>
        <w:t>Identifiant client Stripe (token), IBAN prospect, historique des transactions wallet, factures.</w:t>
      </w:r>
    </w:p>
    <w:p>
      <w:pPr>
        <w:pStyle w:val="ListBullet"/>
      </w:pPr>
      <w:r>
        <w:rPr>
          <w:b/>
        </w:rPr>
        <w:t xml:space="preserve">Destinataires / sous-traitants : </w:t>
      </w:r>
      <w:r>
        <w:t>Stripe (paiements/virements), personnels Majelink.</w:t>
      </w:r>
    </w:p>
    <w:p>
      <w:pPr>
        <w:pStyle w:val="ListBullet"/>
      </w:pPr>
      <w:r>
        <w:rPr>
          <w:b/>
        </w:rPr>
        <w:t xml:space="preserve">Durée de conservation : </w:t>
      </w:r>
      <w:r>
        <w:t>IBAN : durée du compte ; pièces comptables : 10 ans.</w:t>
      </w:r>
    </w:p>
    <w:p>
      <w:pPr>
        <w:pStyle w:val="ListBullet"/>
      </w:pPr>
      <w:r>
        <w:rPr>
          <w:b/>
        </w:rPr>
        <w:t xml:space="preserve">Particularités / mesures : </w:t>
      </w:r>
      <w:r>
        <w:t>Aucune donnée carte stockée par BUUPP (Stripe, PCI-DSS) → AIPD paiement.</w:t>
      </w:r>
    </w:p>
    <w:p>
      <w:pPr>
        <w:pStyle w:val="Heading2"/>
      </w:pPr>
      <w:r>
        <w:rPr>
          <w:color w:val="0F172A"/>
        </w:rPr>
        <w:t>T7 — Facturation et obligations fiscales (DAC7)</w:t>
      </w:r>
    </w:p>
    <w:p>
      <w:pPr>
        <w:pStyle w:val="ListBullet"/>
      </w:pPr>
      <w:r>
        <w:rPr>
          <w:b/>
        </w:rPr>
        <w:t xml:space="preserve">Finalité : </w:t>
      </w:r>
      <w:r>
        <w:t>Factures et déclaration DGFiP au-delà des seuils (2 000 € ou 30 transactions/an).</w:t>
      </w:r>
    </w:p>
    <w:p>
      <w:pPr>
        <w:pStyle w:val="ListBullet"/>
      </w:pPr>
      <w:r>
        <w:rPr>
          <w:b/>
        </w:rPr>
        <w:t xml:space="preserve">Base légale : </w:t>
      </w:r>
      <w:r>
        <w:t>Obligation légale (6.1.c — CGI art. 242 bis, DAC7).</w:t>
      </w:r>
    </w:p>
    <w:p>
      <w:pPr>
        <w:pStyle w:val="ListBullet"/>
      </w:pPr>
      <w:r>
        <w:rPr>
          <w:b/>
        </w:rPr>
        <w:t xml:space="preserve">Personnes concernées : </w:t>
      </w:r>
      <w:r>
        <w:t>Prospects (au-delà du seuil), professionnels.</w:t>
      </w:r>
    </w:p>
    <w:p>
      <w:pPr>
        <w:pStyle w:val="ListBullet"/>
      </w:pPr>
      <w:r>
        <w:rPr>
          <w:b/>
        </w:rPr>
        <w:t xml:space="preserve">Catégories de données : </w:t>
      </w:r>
      <w:r>
        <w:t>Cumul annuel des gains, nombre de transactions, attestations DGFiP, factures.</w:t>
      </w:r>
    </w:p>
    <w:p>
      <w:pPr>
        <w:pStyle w:val="ListBullet"/>
      </w:pPr>
      <w:r>
        <w:rPr>
          <w:b/>
        </w:rPr>
        <w:t xml:space="preserve">Destinataires / sous-traitants : </w:t>
      </w:r>
      <w:r>
        <w:t>DGFiP ; personnels Majelink ; comptable.</w:t>
      </w:r>
    </w:p>
    <w:p>
      <w:pPr>
        <w:pStyle w:val="ListBullet"/>
      </w:pPr>
      <w:r>
        <w:rPr>
          <w:b/>
        </w:rPr>
        <w:t xml:space="preserve">Durée de conservation : </w:t>
      </w:r>
      <w:r>
        <w:t>Fiscal DAC7 : 6 ans ; comptabilité : 10 ans.</w:t>
      </w:r>
    </w:p>
    <w:p>
      <w:pPr>
        <w:pStyle w:val="Heading2"/>
      </w:pPr>
      <w:r>
        <w:rPr>
          <w:color w:val="0F172A"/>
        </w:rPr>
        <w:t>T8 — Communication transactionnelle (e-mail / SMS)</w:t>
      </w:r>
    </w:p>
    <w:p>
      <w:pPr>
        <w:pStyle w:val="ListBullet"/>
      </w:pPr>
      <w:r>
        <w:rPr>
          <w:b/>
        </w:rPr>
        <w:t xml:space="preserve">Finalité : </w:t>
      </w:r>
      <w:r>
        <w:t>Confirmations, alertes d'encaissement, notifications, OTP téléphone.</w:t>
      </w:r>
    </w:p>
    <w:p>
      <w:pPr>
        <w:pStyle w:val="ListBullet"/>
      </w:pPr>
      <w:r>
        <w:rPr>
          <w:b/>
        </w:rPr>
        <w:t xml:space="preserve">Base légale : </w:t>
      </w:r>
      <w:r>
        <w:t>Exécution du contrat (6.1.b) ; SMS OTP : sécurité.</w:t>
      </w:r>
    </w:p>
    <w:p>
      <w:pPr>
        <w:pStyle w:val="ListBullet"/>
      </w:pPr>
      <w:r>
        <w:rPr>
          <w:b/>
        </w:rPr>
        <w:t xml:space="preserve">Personnes concernées : </w:t>
      </w:r>
      <w:r>
        <w:t>Prospects, professionnels.</w:t>
      </w:r>
    </w:p>
    <w:p>
      <w:pPr>
        <w:pStyle w:val="ListBullet"/>
      </w:pPr>
      <w:r>
        <w:rPr>
          <w:b/>
        </w:rPr>
        <w:t xml:space="preserve">Catégories de données : </w:t>
      </w:r>
      <w:r>
        <w:t>E-mail, téléphone, contenu transactionnel.</w:t>
      </w:r>
    </w:p>
    <w:p>
      <w:pPr>
        <w:pStyle w:val="ListBullet"/>
      </w:pPr>
      <w:r>
        <w:rPr>
          <w:b/>
        </w:rPr>
        <w:t xml:space="preserve">Destinataires / sous-traitants : </w:t>
      </w:r>
      <w:r>
        <w:t>Brevo (UE) ; personnels Majelink.</w:t>
      </w:r>
    </w:p>
    <w:p>
      <w:pPr>
        <w:pStyle w:val="ListBullet"/>
      </w:pPr>
      <w:r>
        <w:rPr>
          <w:b/>
        </w:rPr>
        <w:t xml:space="preserve">Durée de conservation : </w:t>
      </w:r>
      <w:r>
        <w:t>Durée du compte ; e-mails Pro→Prospect : 12 mois.</w:t>
      </w:r>
    </w:p>
    <w:p>
      <w:pPr>
        <w:pStyle w:val="ListBullet"/>
      </w:pPr>
      <w:r>
        <w:rPr>
          <w:b/>
        </w:rPr>
        <w:t xml:space="preserve">Particularités / mesures : </w:t>
      </w:r>
      <w:r>
        <w:t>Domaine authentifié SPF/DKIM/DMARC.</w:t>
      </w:r>
    </w:p>
    <w:p>
      <w:pPr>
        <w:pStyle w:val="Heading2"/>
      </w:pPr>
      <w:r>
        <w:rPr>
          <w:color w:val="0F172A"/>
        </w:rPr>
        <w:t>T9 — Broadcasts pros → prospects + mesure d'ouverture</w:t>
      </w:r>
    </w:p>
    <w:p>
      <w:pPr>
        <w:pStyle w:val="ListBullet"/>
      </w:pPr>
      <w:r>
        <w:rPr>
          <w:b/>
        </w:rPr>
        <w:t xml:space="preserve">Finalité : </w:t>
      </w:r>
      <w:r>
        <w:t>Diffusion médiée à un segment ; mesure d'ouverture (pixel).</w:t>
      </w:r>
    </w:p>
    <w:p>
      <w:pPr>
        <w:pStyle w:val="ListBullet"/>
      </w:pPr>
      <w:r>
        <w:rPr>
          <w:b/>
        </w:rPr>
        <w:t xml:space="preserve">Base légale : </w:t>
      </w:r>
      <w:r>
        <w:t>Exécution du contrat (6.1.b) ; pixel : consentement (6.1.a).</w:t>
      </w:r>
    </w:p>
    <w:p>
      <w:pPr>
        <w:pStyle w:val="ListBullet"/>
      </w:pPr>
      <w:r>
        <w:rPr>
          <w:b/>
        </w:rPr>
        <w:t xml:space="preserve">Personnes concernées : </w:t>
      </w:r>
      <w:r>
        <w:t>Prospects.</w:t>
      </w:r>
    </w:p>
    <w:p>
      <w:pPr>
        <w:pStyle w:val="ListBullet"/>
      </w:pPr>
      <w:r>
        <w:rPr>
          <w:b/>
        </w:rPr>
        <w:t xml:space="preserve">Catégories de données : </w:t>
      </w:r>
      <w:r>
        <w:t>Sujet/corps des messages, identifiant destinataire opaque, statut d'ouverture.</w:t>
      </w:r>
    </w:p>
    <w:p>
      <w:pPr>
        <w:pStyle w:val="ListBullet"/>
      </w:pPr>
      <w:r>
        <w:rPr>
          <w:b/>
        </w:rPr>
        <w:t xml:space="preserve">Destinataires / sous-traitants : </w:t>
      </w:r>
      <w:r>
        <w:t>Brevo ; professionnel émetteur ; personnels Majelink.</w:t>
      </w:r>
    </w:p>
    <w:p>
      <w:pPr>
        <w:pStyle w:val="ListBullet"/>
      </w:pPr>
      <w:r>
        <w:rPr>
          <w:b/>
        </w:rPr>
        <w:t xml:space="preserve">Durée de conservation : </w:t>
      </w:r>
      <w:r>
        <w:t>Tracking pixel : 13 mois ; e-mails : 12 mois.</w:t>
      </w:r>
    </w:p>
    <w:p>
      <w:pPr>
        <w:pStyle w:val="ListBullet"/>
      </w:pPr>
      <w:r>
        <w:rPr>
          <w:b/>
        </w:rPr>
        <w:t xml:space="preserve">Particularités / mesures : </w:t>
      </w:r>
      <w:r>
        <w:t>Pixel inséré uniquement avec consentement explicite.</w:t>
      </w:r>
    </w:p>
    <w:p>
      <w:pPr>
        <w:pStyle w:val="Heading2"/>
      </w:pPr>
      <w:r>
        <w:rPr>
          <w:color w:val="0F172A"/>
        </w:rPr>
        <w:t>T10 — Prévention de la fraude et journalisation</w:t>
      </w:r>
    </w:p>
    <w:p>
      <w:pPr>
        <w:pStyle w:val="ListBullet"/>
      </w:pPr>
      <w:r>
        <w:rPr>
          <w:b/>
        </w:rPr>
        <w:t xml:space="preserve">Finalité : </w:t>
      </w:r>
      <w:r>
        <w:t>Anti-doublon, exclusivité de rôle, détection d'abus, traçabilité des révélations.</w:t>
      </w:r>
    </w:p>
    <w:p>
      <w:pPr>
        <w:pStyle w:val="ListBullet"/>
      </w:pPr>
      <w:r>
        <w:rPr>
          <w:b/>
        </w:rPr>
        <w:t xml:space="preserve">Base légale : </w:t>
      </w:r>
      <w:r>
        <w:t>Intérêt légitime (6.1.f) — sécurité et lutte contre la fraude.</w:t>
      </w:r>
    </w:p>
    <w:p>
      <w:pPr>
        <w:pStyle w:val="ListBullet"/>
      </w:pPr>
      <w:r>
        <w:rPr>
          <w:b/>
        </w:rPr>
        <w:t xml:space="preserve">Personnes concernées : </w:t>
      </w:r>
      <w:r>
        <w:t>Prospects, professionnels.</w:t>
      </w:r>
    </w:p>
    <w:p>
      <w:pPr>
        <w:pStyle w:val="ListBullet"/>
      </w:pPr>
      <w:r>
        <w:rPr>
          <w:b/>
        </w:rPr>
        <w:t xml:space="preserve">Catégories de données : </w:t>
      </w:r>
      <w:r>
        <w:t>Contraintes d'unicité (IBAN, téléphone E.164, e-mail, rôle), honeypots, alias watermarqués, journal des révélations, clics de contact.</w:t>
      </w:r>
    </w:p>
    <w:p>
      <w:pPr>
        <w:pStyle w:val="ListBullet"/>
      </w:pPr>
      <w:r>
        <w:rPr>
          <w:b/>
        </w:rPr>
        <w:t xml:space="preserve">Destinataires / sous-traitants : </w:t>
      </w:r>
      <w:r>
        <w:t>Personnels habilités Majelink (conformité).</w:t>
      </w:r>
    </w:p>
    <w:p>
      <w:pPr>
        <w:pStyle w:val="ListBullet"/>
      </w:pPr>
      <w:r>
        <w:rPr>
          <w:b/>
        </w:rPr>
        <w:t xml:space="preserve">Durée de conservation : </w:t>
      </w:r>
      <w:r>
        <w:t>Journal des révélations : 24 mois ; clics de contact : 24 mois.</w:t>
      </w:r>
    </w:p>
    <w:p>
      <w:pPr>
        <w:pStyle w:val="ListBullet"/>
      </w:pPr>
      <w:r>
        <w:rPr>
          <w:b/>
        </w:rPr>
        <w:t xml:space="preserve">Particularités / mesures : </w:t>
      </w:r>
      <w:r>
        <w:t>Journal verrouillé (append-only) + écriture fail-closed.</w:t>
      </w:r>
    </w:p>
    <w:p>
      <w:pPr>
        <w:pStyle w:val="Heading2"/>
      </w:pPr>
      <w:r>
        <w:rPr>
          <w:color w:val="0F172A"/>
        </w:rPr>
        <w:t>T11 — Liste d'attente (waitlist) et anti-bot</w:t>
      </w:r>
    </w:p>
    <w:p>
      <w:pPr>
        <w:pStyle w:val="ListBullet"/>
      </w:pPr>
      <w:r>
        <w:rPr>
          <w:b/>
        </w:rPr>
        <w:t xml:space="preserve">Finalité : </w:t>
      </w:r>
      <w:r>
        <w:t>Inscription avant lancement, protection anti-bot.</w:t>
      </w:r>
    </w:p>
    <w:p>
      <w:pPr>
        <w:pStyle w:val="ListBullet"/>
      </w:pPr>
      <w:r>
        <w:rPr>
          <w:b/>
        </w:rPr>
        <w:t xml:space="preserve">Base légale : </w:t>
      </w:r>
      <w:r>
        <w:t>Consentement (6.1.a) ; anti-bot : intérêt légitime (6.1.f).</w:t>
      </w:r>
    </w:p>
    <w:p>
      <w:pPr>
        <w:pStyle w:val="ListBullet"/>
      </w:pPr>
      <w:r>
        <w:rPr>
          <w:b/>
        </w:rPr>
        <w:t xml:space="preserve">Personnes concernées : </w:t>
      </w:r>
      <w:r>
        <w:t>Visiteurs / futurs prospects.</w:t>
      </w:r>
    </w:p>
    <w:p>
      <w:pPr>
        <w:pStyle w:val="ListBullet"/>
      </w:pPr>
      <w:r>
        <w:rPr>
          <w:b/>
        </w:rPr>
        <w:t xml:space="preserve">Catégories de données : </w:t>
      </w:r>
      <w:r>
        <w:t>E-mail, hash IP (SHA-256 salé, non réversible), user-agent.</w:t>
      </w:r>
    </w:p>
    <w:p>
      <w:pPr>
        <w:pStyle w:val="ListBullet"/>
      </w:pPr>
      <w:r>
        <w:rPr>
          <w:b/>
        </w:rPr>
        <w:t xml:space="preserve">Destinataires / sous-traitants : </w:t>
      </w:r>
      <w:r>
        <w:t>Personnels Majelink.</w:t>
      </w:r>
    </w:p>
    <w:p>
      <w:pPr>
        <w:pStyle w:val="ListBullet"/>
      </w:pPr>
      <w:r>
        <w:rPr>
          <w:b/>
        </w:rPr>
        <w:t xml:space="preserve">Durée de conservation : </w:t>
      </w:r>
      <w:r>
        <w:t>IP hashées : 12 mois ; e-mails de prospection : 3 ans (CNIL).</w:t>
      </w:r>
    </w:p>
    <w:p>
      <w:pPr>
        <w:pStyle w:val="ListBullet"/>
      </w:pPr>
      <w:r>
        <w:rPr>
          <w:b/>
        </w:rPr>
        <w:t xml:space="preserve">Particularités / mesures : </w:t>
      </w:r>
      <w:r>
        <w:t>Honeypot anti-bot ; IP pseudonymisée.</w:t>
      </w:r>
    </w:p>
    <w:p>
      <w:pPr>
        <w:pStyle w:val="Heading2"/>
      </w:pPr>
      <w:r>
        <w:rPr>
          <w:color w:val="0F172A"/>
        </w:rPr>
        <w:t>T12 — Gestion des demandes RGPD / relation DPO</w:t>
      </w:r>
    </w:p>
    <w:p>
      <w:pPr>
        <w:pStyle w:val="ListBullet"/>
      </w:pPr>
      <w:r>
        <w:rPr>
          <w:b/>
        </w:rPr>
        <w:t xml:space="preserve">Finalité : </w:t>
      </w:r>
      <w:r>
        <w:t>Réception et traitement des demandes d'exercice de droits.</w:t>
      </w:r>
    </w:p>
    <w:p>
      <w:pPr>
        <w:pStyle w:val="ListBullet"/>
      </w:pPr>
      <w:r>
        <w:rPr>
          <w:b/>
        </w:rPr>
        <w:t xml:space="preserve">Base légale : </w:t>
      </w:r>
      <w:r>
        <w:t>Obligation légale (6.1.c — art. 12 à 22 RGPD).</w:t>
      </w:r>
    </w:p>
    <w:p>
      <w:pPr>
        <w:pStyle w:val="ListBullet"/>
      </w:pPr>
      <w:r>
        <w:rPr>
          <w:b/>
        </w:rPr>
        <w:t xml:space="preserve">Personnes concernées : </w:t>
      </w:r>
      <w:r>
        <w:t>Prospects, professionnels, anciens utilisateurs, tiers.</w:t>
      </w:r>
    </w:p>
    <w:p>
      <w:pPr>
        <w:pStyle w:val="ListBullet"/>
      </w:pPr>
      <w:r>
        <w:rPr>
          <w:b/>
        </w:rPr>
        <w:t xml:space="preserve">Catégories de données : </w:t>
      </w:r>
      <w:r>
        <w:t>Identité du demandeur, objet, échanges, justificatif d'identité.</w:t>
      </w:r>
    </w:p>
    <w:p>
      <w:pPr>
        <w:pStyle w:val="ListBullet"/>
      </w:pPr>
      <w:r>
        <w:rPr>
          <w:b/>
        </w:rPr>
        <w:t xml:space="preserve">Destinataires / sous-traitants : </w:t>
      </w:r>
      <w:r>
        <w:t>DPO / personnels habilités Majelink.</w:t>
      </w:r>
    </w:p>
    <w:p>
      <w:pPr>
        <w:pStyle w:val="ListBullet"/>
      </w:pPr>
      <w:r>
        <w:rPr>
          <w:b/>
        </w:rPr>
        <w:t xml:space="preserve">Durée de conservation : </w:t>
      </w:r>
      <w:r>
        <w:t>Le temps du traitement + délai de preuve. [À COMPLÉTER]</w:t>
      </w:r>
    </w:p>
    <w:p>
      <w:pPr>
        <w:pStyle w:val="ListBullet"/>
      </w:pPr>
      <w:r>
        <w:rPr>
          <w:b/>
        </w:rPr>
        <w:t xml:space="preserve">Particularités / mesures : </w:t>
      </w:r>
      <w:r>
        <w:t>Formulaire DPO public (honeypot + consentement).</w:t>
      </w:r>
    </w:p>
    <w:p>
      <w:pPr>
        <w:pStyle w:val="Heading2"/>
      </w:pPr>
      <w:r>
        <w:rPr>
          <w:color w:val="0F172A"/>
        </w:rPr>
        <w:t>T13 — Analyse interne et statistiques agrégées</w:t>
      </w:r>
    </w:p>
    <w:p>
      <w:pPr>
        <w:pStyle w:val="ListBullet"/>
      </w:pPr>
      <w:r>
        <w:rPr>
          <w:b/>
        </w:rPr>
        <w:t xml:space="preserve">Finalité : </w:t>
      </w:r>
      <w:r>
        <w:t>Pilotage du service via des agrégats anonymisés ; back-office d'administration.</w:t>
      </w:r>
    </w:p>
    <w:p>
      <w:pPr>
        <w:pStyle w:val="ListBullet"/>
      </w:pPr>
      <w:r>
        <w:rPr>
          <w:b/>
        </w:rPr>
        <w:t xml:space="preserve">Base légale : </w:t>
      </w:r>
      <w:r>
        <w:t>Intérêt légitime (6.1.f).</w:t>
      </w:r>
    </w:p>
    <w:p>
      <w:pPr>
        <w:pStyle w:val="ListBullet"/>
      </w:pPr>
      <w:r>
        <w:rPr>
          <w:b/>
        </w:rPr>
        <w:t xml:space="preserve">Personnes concernées : </w:t>
      </w:r>
      <w:r>
        <w:t>Prospects, professionnels (agrégés).</w:t>
      </w:r>
    </w:p>
    <w:p>
      <w:pPr>
        <w:pStyle w:val="ListBullet"/>
      </w:pPr>
      <w:r>
        <w:rPr>
          <w:b/>
        </w:rPr>
        <w:t xml:space="preserve">Catégories de données : </w:t>
      </w:r>
      <w:r>
        <w:t>Agrégats anonymisés ; journal d'événements administrateur.</w:t>
      </w:r>
    </w:p>
    <w:p>
      <w:pPr>
        <w:pStyle w:val="ListBullet"/>
      </w:pPr>
      <w:r>
        <w:rPr>
          <w:b/>
        </w:rPr>
        <w:t xml:space="preserve">Destinataires / sous-traitants : </w:t>
      </w:r>
      <w:r>
        <w:t>Personnels habilités Majelink.</w:t>
      </w:r>
    </w:p>
    <w:p>
      <w:pPr>
        <w:pStyle w:val="ListBullet"/>
      </w:pPr>
      <w:r>
        <w:rPr>
          <w:b/>
        </w:rPr>
        <w:t xml:space="preserve">Durée de conservation : </w:t>
      </w:r>
      <w:r>
        <w:t>Logs techniques/sécurité : 12 mois.</w:t>
      </w:r>
    </w:p>
    <w:p>
      <w:pPr>
        <w:pStyle w:val="ListBullet"/>
      </w:pPr>
      <w:r>
        <w:rPr>
          <w:b/>
        </w:rPr>
        <w:t xml:space="preserve">Particularités / mesures : </w:t>
      </w:r>
      <w:r>
        <w:t>Mesure d'audience via Vercel Analytics — sans cookie.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