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60"/>
        </w:rPr>
        <w:t>BUUPP</w:t>
      </w:r>
    </w:p>
    <w:p>
      <w:pPr>
        <w:jc w:val="center"/>
      </w:pPr>
      <w:r>
        <w:rPr>
          <w:color w:val="0F172A"/>
          <w:sz w:val="32"/>
        </w:rPr>
        <w:t>Analyse d'impact relative à la protection des données (AIPD)</w:t>
      </w:r>
    </w:p>
    <w:p>
      <w:pPr>
        <w:jc w:val="center"/>
      </w:pPr>
      <w:r>
        <w:rPr>
          <w:i/>
          <w:color w:val="475565"/>
          <w:sz w:val="22"/>
        </w:rPr>
        <w:t>Traitement : Mise en relation rémunérée avec scoring et segmentation — art. 35 RGPD</w:t>
      </w:r>
    </w:p>
    <w:p/>
    <w:p>
      <w:pPr>
        <w:jc w:val="center"/>
      </w:pPr>
      <w:r>
        <w:rPr>
          <w:b/>
        </w:rPr>
        <w:t xml:space="preserve">Responsable de traitement : </w:t>
      </w:r>
      <w:r>
        <w:t>Majelink (éditeur de la plateforme BUUPP) — RCS Pau 892 514 167 — 12 Impasse des Étriers, 64140 Lons</w:t>
        <w:br/>
      </w:r>
      <w:r>
        <w:t>Chargé à la protection des données : dp.buupp@buupp.com</w:t>
        <w:br/>
      </w:r>
      <w:r>
        <w:t>Version : 14/06/2026</w:t>
      </w:r>
    </w:p>
    <w:p/>
    <w:p>
      <w:pPr>
        <w:spacing w:after="200"/>
      </w:pPr>
      <w:r>
        <w:rPr>
          <w:i/>
          <w:color w:val="B45309"/>
          <w:sz w:val="17"/>
        </w:rPr>
        <w:t>Document de travail ancré sur le système en production (politique de confidentialité publiée, base de données, code source). Les arbitrages juridiques (bases légales, durées, désignation du DPO) doivent être validés par le DPO / le conseil juridique. Les champs marqués « [À COMPLÉTER] » requièrent une décision du responsable de traitement.</w:t>
      </w:r>
    </w:p>
    <w:p>
      <w:r>
        <w:br w:type="page"/>
      </w:r>
    </w:p>
    <w:p>
      <w:pPr>
        <w:pStyle w:val="Heading1"/>
      </w:pPr>
      <w:r>
        <w:rPr>
          <w:color w:val="4F46E5"/>
        </w:rPr>
        <w:t>1. Faut-il une AIPD ? (critères CNIL / WP248)</w:t>
      </w:r>
    </w:p>
    <w:p>
      <w:pPr>
        <w:spacing w:after="120"/>
      </w:pPr>
      <w:r>
        <w:rPr>
          <w:b w:val="0"/>
          <w:i w:val="0"/>
        </w:rPr>
        <w:t>Une AIPD est requise lorsqu'un traitement est susceptible d'engendrer un risque élevé. Le traitement central de BUUPP remplit plusieurs des 9 critères du CEPD (WP248) — au moins deux suffisent à présumer le risque élevé :</w:t>
      </w:r>
    </w:p>
    <w:p>
      <w:pPr>
        <w:pStyle w:val="ListBullet"/>
      </w:pPr>
      <w:r>
        <w:rPr>
          <w:b/>
        </w:rPr>
        <w:t xml:space="preserve">✔ </w:t>
      </w:r>
      <w:r>
        <w:t>Évaluation / scoring : calcul du BUUPP Score (qualité de profil).</w:t>
      </w:r>
    </w:p>
    <w:p>
      <w:pPr>
        <w:pStyle w:val="ListBullet"/>
      </w:pPr>
      <w:r>
        <w:rPr>
          <w:b/>
        </w:rPr>
        <w:t xml:space="preserve">✔ </w:t>
      </w:r>
      <w:r>
        <w:t>Croisement / combinaison de données : segmentation multi-facettes (revenus, patrimoine, localisation, foyer, etc.).</w:t>
      </w:r>
    </w:p>
    <w:p>
      <w:pPr>
        <w:pStyle w:val="ListBullet"/>
      </w:pPr>
      <w:r>
        <w:rPr>
          <w:b/>
        </w:rPr>
        <w:t xml:space="preserve">✔ </w:t>
      </w:r>
      <w:r>
        <w:t>Données à caractère hautement personnel : revenus, patrimoine, projets de vie, coordonnées bancaires (IBAN).</w:t>
      </w:r>
    </w:p>
    <w:p>
      <w:pPr>
        <w:pStyle w:val="ListBullet"/>
      </w:pPr>
      <w:r>
        <w:rPr>
          <w:b/>
        </w:rPr>
        <w:t xml:space="preserve">✔ </w:t>
      </w:r>
      <w:r>
        <w:t>Usage innovant : modèle de rémunération de la donnée personnelle à double consentement (nouveauté).</w:t>
      </w:r>
    </w:p>
    <w:p>
      <w:pPr>
        <w:pStyle w:val="ListBullet"/>
      </w:pPr>
      <w:r>
        <w:rPr>
          <w:b/>
        </w:rPr>
        <w:t xml:space="preserve">✔ </w:t>
      </w:r>
      <w:r>
        <w:t>Suivi systématique : journalisation des accès et des sollicitations.</w:t>
      </w:r>
    </w:p>
    <w:p>
      <w:pPr>
        <w:spacing w:after="120"/>
      </w:pPr>
      <w:r>
        <w:rPr>
          <w:b w:val="0"/>
          <w:i w:val="0"/>
        </w:rPr>
        <w:t>Conclusion : AIPD requise pour ce traitement. Les traitements purement comptables/fiscaux (T7) et de paiement (T6, largement délégué à Stripe) présentent un risque résiduel plus faible mais alimentent ce traitement central ; ils sont couverts par la présente analyse. Les autres traitements (compte, communication, waitlist) ne nécessitent pas d'AIPD distincte mais sont documentés au registre.</w:t>
      </w:r>
    </w:p>
    <w:p>
      <w:pPr>
        <w:pStyle w:val="Heading1"/>
      </w:pPr>
      <w:r>
        <w:rPr>
          <w:color w:val="4F46E5"/>
        </w:rPr>
        <w:t>2. Description du traitement</w:t>
      </w:r>
    </w:p>
    <w:p>
      <w:pPr>
        <w:pStyle w:val="ListBullet"/>
      </w:pPr>
      <w:r>
        <w:rPr>
          <w:b/>
        </w:rPr>
        <w:t xml:space="preserve">Finalités : </w:t>
      </w:r>
      <w:r>
        <w:t>Mettre en relation des prospects consentants avec des professionnels, en valorisant et segmentant les profils, tout en rémunérant le prospect.</w:t>
      </w:r>
    </w:p>
    <w:p>
      <w:pPr>
        <w:pStyle w:val="ListBullet"/>
      </w:pPr>
      <w:r>
        <w:rPr>
          <w:b/>
        </w:rPr>
        <w:t xml:space="preserve">Données : </w:t>
      </w:r>
      <w:r>
        <w:t>Identité (palier 1), profil enrichi (paliers 2-5 dont revenus/patrimoine), score dérivé, données de relation, coordonnées bancaires (rémunération).</w:t>
      </w:r>
    </w:p>
    <w:p>
      <w:pPr>
        <w:pStyle w:val="ListBullet"/>
      </w:pPr>
      <w:r>
        <w:rPr>
          <w:b/>
        </w:rPr>
        <w:t xml:space="preserve">Acteurs : </w:t>
      </w:r>
      <w:r>
        <w:t>Prospects (personnes concernées), professionnels (utilisateurs), personnels Majelink, sous-traitants (cf. registre).</w:t>
      </w:r>
    </w:p>
    <w:p>
      <w:pPr>
        <w:pStyle w:val="ListBullet"/>
      </w:pPr>
      <w:r>
        <w:rPr>
          <w:b/>
        </w:rPr>
        <w:t xml:space="preserve">Cycle de vie : </w:t>
      </w:r>
      <w:r>
        <w:t>Collecte (inscription, consentement par palier) → scoring/segmentation → sollicitation (double consentement) → pseudonymisation → révélation journalisée → rémunération → archivage/suppression selon le référentiel.</w:t>
      </w:r>
    </w:p>
    <w:p>
      <w:pPr>
        <w:pStyle w:val="ListBullet"/>
      </w:pPr>
      <w:r>
        <w:rPr>
          <w:b/>
        </w:rPr>
        <w:t xml:space="preserve">Mesures existantes : </w:t>
      </w:r>
      <w:r>
        <w:t>Hébergement UE ; chiffrement ; RLS ; pseudonymisation à la lecture ; alias e-mail watermarqués ; journal des accès fail-closed + append-only ; anti-fraude.</w:t>
      </w:r>
    </w:p>
    <w:p>
      <w:pPr>
        <w:pStyle w:val="Heading1"/>
      </w:pPr>
      <w:r>
        <w:rPr>
          <w:color w:val="4F46E5"/>
        </w:rPr>
        <w:t>3. Nécessité et proportionnalité</w:t>
      </w:r>
    </w:p>
    <w:p>
      <w:pPr>
        <w:pStyle w:val="ListBullet"/>
      </w:pPr>
      <w:r>
        <w:rPr>
          <w:b/>
        </w:rPr>
        <w:t xml:space="preserve">Base légale : </w:t>
      </w:r>
      <w:r>
        <w:t>Exécution du contrat (mise en relation, paiement) ; consentement (paliers facultatifs, sollicitations) ; obligation légale (fiscal) ; intérêt légitime (fraude, sécurité). Légitimité à confirmer par la balance d'intérêts pour le scoring. [À COMPLÉTER]</w:t>
      </w:r>
    </w:p>
    <w:p>
      <w:pPr>
        <w:pStyle w:val="ListBullet"/>
      </w:pPr>
      <w:r>
        <w:rPr>
          <w:b/>
        </w:rPr>
        <w:t xml:space="preserve">Minimisation : </w:t>
      </w:r>
      <w:r>
        <w:t>Minimisation par finalité (seuls les paliers nécessaires à l'objectif du pro sont autorisés et facturés) ; paliers 2-5 facultatifs et révocables.</w:t>
      </w:r>
    </w:p>
    <w:p>
      <w:pPr>
        <w:pStyle w:val="ListBullet"/>
      </w:pPr>
      <w:r>
        <w:rPr>
          <w:b/>
        </w:rPr>
        <w:t xml:space="preserve">Qualité / exactitude : </w:t>
      </w:r>
      <w:r>
        <w:t>Données saisies par le prospect lui-même ; téléphone vérifié par OTP ; unicité anti-doublon.</w:t>
      </w:r>
    </w:p>
    <w:p>
      <w:pPr>
        <w:pStyle w:val="ListBullet"/>
      </w:pPr>
      <w:r>
        <w:rPr>
          <w:b/>
        </w:rPr>
        <w:t xml:space="preserve">Durées : </w:t>
      </w:r>
      <w:r>
        <w:t>Conformes au référentiel de conservation (document dédié).</w:t>
      </w:r>
    </w:p>
    <w:p>
      <w:pPr>
        <w:pStyle w:val="ListBullet"/>
      </w:pPr>
      <w:r>
        <w:rPr>
          <w:b/>
        </w:rPr>
        <w:t xml:space="preserve">Information &amp; droits : </w:t>
      </w:r>
      <w:r>
        <w:t>Information via la politique de confidentialité, la page DPO et la page minimisation ; double consentement explicite ; droits d'accès, rectification, effacement, opposition, portabilité exerçables.</w:t>
      </w:r>
    </w:p>
    <w:p>
      <w:pPr>
        <w:pStyle w:val="Heading1"/>
      </w:pPr>
      <w:r>
        <w:rPr>
          <w:color w:val="4F46E5"/>
        </w:rPr>
        <w:t>4. Appréciation des risques pour les personnes</w:t>
      </w:r>
    </w:p>
    <w:p>
      <w:pPr>
        <w:spacing w:after="120"/>
      </w:pPr>
      <w:r>
        <w:rPr>
          <w:b w:val="0"/>
          <w:i/>
          <w:sz w:val="18"/>
        </w:rPr>
        <w:t>Trois événements redoutés (méthode CNIL) : accès illégitime, modification non désirée, disparition de données. Gravité et vraisemblance évaluées AVANT/APRÈS mesures. (Cotation à valider en atelier DPO — échelle : Négligeable / Limitée / Importante / Maximale.)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6"/>
              </w:rPr>
              <w:t>Risque</w:t>
            </w:r>
          </w:p>
        </w:tc>
        <w:tc>
          <w:tcPr>
            <w:tcW w:type="dxa" w:w="2160"/>
          </w:tcPr>
          <w:p>
            <w:r>
              <w:rPr>
                <w:b/>
                <w:sz w:val="16"/>
              </w:rPr>
              <w:t>Impact pour la personne</w:t>
            </w:r>
          </w:p>
        </w:tc>
        <w:tc>
          <w:tcPr>
            <w:tcW w:type="dxa" w:w="2160"/>
          </w:tcPr>
          <w:p>
            <w:r>
              <w:rPr>
                <w:b/>
                <w:sz w:val="16"/>
              </w:rPr>
              <w:t>Mesures en place</w:t>
            </w:r>
          </w:p>
        </w:tc>
        <w:tc>
          <w:tcPr>
            <w:tcW w:type="dxa" w:w="2160"/>
          </w:tcPr>
          <w:p>
            <w:r>
              <w:rPr>
                <w:b/>
                <w:sz w:val="16"/>
              </w:rPr>
              <w:t>Risque résiduel*</w:t>
            </w:r>
          </w:p>
        </w:tc>
      </w:tr>
      <w:tr>
        <w:tc>
          <w:tcPr>
            <w:tcW w:type="dxa" w:w="2160"/>
          </w:tcPr>
          <w:p>
            <w:r>
              <w:rPr>
                <w:sz w:val="16"/>
              </w:rPr>
              <w:t>Accès illégitime aux données (ré-identification d'un profil, fuite d'IBAN/revenus)</w:t>
            </w:r>
          </w:p>
        </w:tc>
        <w:tc>
          <w:tcPr>
            <w:tcW w:type="dxa" w:w="2160"/>
          </w:tcPr>
          <w:p>
            <w:r>
              <w:rPr>
                <w:sz w:val="16"/>
              </w:rPr>
              <w:t>Atteinte à la vie privée, démarchage abusif, risque financier</w:t>
            </w:r>
          </w:p>
        </w:tc>
        <w:tc>
          <w:tcPr>
            <w:tcW w:type="dxa" w:w="2160"/>
          </w:tcPr>
          <w:p>
            <w:r>
              <w:rPr>
                <w:sz w:val="16"/>
              </w:rPr>
              <w:t>Pseudonymisation à la lecture ; alias watermarqués ; RLS ; chiffrement ; révélation gated + journalisée ; aucune donnée carte stockée</w:t>
            </w:r>
          </w:p>
        </w:tc>
        <w:tc>
          <w:tcPr>
            <w:tcW w:type="dxa" w:w="2160"/>
          </w:tcPr>
          <w:p>
            <w:r>
              <w:rPr>
                <w:sz w:val="16"/>
              </w:rPr>
              <w:t>Limité [à valider]</w:t>
            </w:r>
          </w:p>
        </w:tc>
      </w:tr>
      <w:tr>
        <w:tc>
          <w:tcPr>
            <w:tcW w:type="dxa" w:w="2160"/>
          </w:tcPr>
          <w:p>
            <w:r>
              <w:rPr>
                <w:sz w:val="16"/>
              </w:rPr>
              <w:t>Détournement de finalité par un pro (extraction, revente)</w:t>
            </w:r>
          </w:p>
        </w:tc>
        <w:tc>
          <w:tcPr>
            <w:tcW w:type="dxa" w:w="2160"/>
          </w:tcPr>
          <w:p>
            <w:r>
              <w:rPr>
                <w:sz w:val="16"/>
              </w:rPr>
              <w:t>Sollicitations hors cadre, perte de contrôle</w:t>
            </w:r>
          </w:p>
        </w:tc>
        <w:tc>
          <w:tcPr>
            <w:tcW w:type="dxa" w:w="2160"/>
          </w:tcPr>
          <w:p>
            <w:r>
              <w:rPr>
                <w:sz w:val="16"/>
              </w:rPr>
              <w:t>Données pseudonymisées non exportables ; consentement à usage unique ; watermark traçable ; journal des accès inviolable ; alerte abus</w:t>
            </w:r>
          </w:p>
        </w:tc>
        <w:tc>
          <w:tcPr>
            <w:tcW w:type="dxa" w:w="2160"/>
          </w:tcPr>
          <w:p>
            <w:r>
              <w:rPr>
                <w:sz w:val="16"/>
              </w:rPr>
              <w:t>Limité [à valider]</w:t>
            </w:r>
          </w:p>
        </w:tc>
      </w:tr>
      <w:tr>
        <w:tc>
          <w:tcPr>
            <w:tcW w:type="dxa" w:w="2160"/>
          </w:tcPr>
          <w:p>
            <w:r>
              <w:rPr>
                <w:sz w:val="16"/>
              </w:rPr>
              <w:t>Modification / falsification d'une trace d'accès</w:t>
            </w:r>
          </w:p>
        </w:tc>
        <w:tc>
          <w:tcPr>
            <w:tcW w:type="dxa" w:w="2160"/>
          </w:tcPr>
          <w:p>
            <w:r>
              <w:rPr>
                <w:sz w:val="16"/>
              </w:rPr>
              <w:t>Impossibilité de prouver qui a accédé aux données</w:t>
            </w:r>
          </w:p>
        </w:tc>
        <w:tc>
          <w:tcPr>
            <w:tcW w:type="dxa" w:w="2160"/>
          </w:tcPr>
          <w:p>
            <w:r>
              <w:rPr>
                <w:sz w:val="16"/>
              </w:rPr>
              <w:t>Journal append-only (trigger anti-UPDATE) + écriture fail-closed</w:t>
            </w:r>
          </w:p>
        </w:tc>
        <w:tc>
          <w:tcPr>
            <w:tcW w:type="dxa" w:w="2160"/>
          </w:tcPr>
          <w:p>
            <w:r>
              <w:rPr>
                <w:sz w:val="16"/>
              </w:rPr>
              <w:t>Négligeable [à valider]</w:t>
            </w:r>
          </w:p>
        </w:tc>
      </w:tr>
      <w:tr>
        <w:tc>
          <w:tcPr>
            <w:tcW w:type="dxa" w:w="2160"/>
          </w:tcPr>
          <w:p>
            <w:r>
              <w:rPr>
                <w:sz w:val="16"/>
              </w:rPr>
              <w:t>Profilage abusif (scoring) ou décision défavorable</w:t>
            </w:r>
          </w:p>
        </w:tc>
        <w:tc>
          <w:tcPr>
            <w:tcW w:type="dxa" w:w="2160"/>
          </w:tcPr>
          <w:p>
            <w:r>
              <w:rPr>
                <w:sz w:val="16"/>
              </w:rPr>
              <w:t>Exclusion d'opportunités, traitement inéquitable</w:t>
            </w:r>
          </w:p>
        </w:tc>
        <w:tc>
          <w:tcPr>
            <w:tcW w:type="dxa" w:w="2160"/>
          </w:tcPr>
          <w:p>
            <w:r>
              <w:rPr>
                <w:sz w:val="16"/>
              </w:rPr>
              <w:t>Score non décisionnel automatisé à effet juridique ; transparence ; pas de catégorie sensible ; droits d'opposition/rectification</w:t>
            </w:r>
          </w:p>
        </w:tc>
        <w:tc>
          <w:tcPr>
            <w:tcW w:type="dxa" w:w="2160"/>
          </w:tcPr>
          <w:p>
            <w:r>
              <w:rPr>
                <w:sz w:val="16"/>
              </w:rPr>
              <w:t>Limité [à valider]</w:t>
            </w:r>
          </w:p>
        </w:tc>
      </w:tr>
      <w:tr>
        <w:tc>
          <w:tcPr>
            <w:tcW w:type="dxa" w:w="2160"/>
          </w:tcPr>
          <w:p>
            <w:r>
              <w:rPr>
                <w:sz w:val="16"/>
              </w:rPr>
              <w:t>Disparition / indisponibilité des données</w:t>
            </w:r>
          </w:p>
        </w:tc>
        <w:tc>
          <w:tcPr>
            <w:tcW w:type="dxa" w:w="2160"/>
          </w:tcPr>
          <w:p>
            <w:r>
              <w:rPr>
                <w:sz w:val="16"/>
              </w:rPr>
              <w:t>Perte d'historique, de rémunération due</w:t>
            </w:r>
          </w:p>
        </w:tc>
        <w:tc>
          <w:tcPr>
            <w:tcW w:type="dxa" w:w="2160"/>
          </w:tcPr>
          <w:p>
            <w:r>
              <w:rPr>
                <w:sz w:val="16"/>
              </w:rPr>
              <w:t>Hébergement managé (sauvegardes Supabase) ; séquestre des fonds</w:t>
            </w:r>
          </w:p>
        </w:tc>
        <w:tc>
          <w:tcPr>
            <w:tcW w:type="dxa" w:w="2160"/>
          </w:tcPr>
          <w:p>
            <w:r>
              <w:rPr>
                <w:sz w:val="16"/>
              </w:rPr>
              <w:t>Limité [à valider]</w:t>
            </w:r>
          </w:p>
        </w:tc>
      </w:tr>
    </w:tbl>
    <w:p>
      <w:pPr>
        <w:spacing w:after="120"/>
      </w:pPr>
      <w:r>
        <w:rPr>
          <w:b w:val="0"/>
          <w:i/>
          <w:color w:val="B45309"/>
          <w:sz w:val="17"/>
        </w:rPr>
        <w:t>* La cotation finale (gravité × vraisemblance) doit être arrêtée en atelier avec le DPO et tracée dans l'outil PIA de la CNIL. [À COMPLÉTER]</w:t>
      </w:r>
    </w:p>
    <w:p>
      <w:pPr>
        <w:pStyle w:val="Heading1"/>
      </w:pPr>
      <w:r>
        <w:rPr>
          <w:color w:val="4F46E5"/>
        </w:rPr>
        <w:t>5. Plan d'action et validation</w:t>
      </w:r>
    </w:p>
    <w:p>
      <w:pPr>
        <w:pStyle w:val="ListBullet"/>
      </w:pPr>
      <w:r>
        <w:t>Formaliser la balance d'intérêts pour le scoring (intérêt légitime).</w:t>
      </w:r>
    </w:p>
    <w:p>
      <w:pPr>
        <w:pStyle w:val="ListBullet"/>
      </w:pPr>
      <w:r>
        <w:t>Arbitrer et automatiser les purges manquantes (prospection 3 ans, logs 12 mois).</w:t>
      </w:r>
    </w:p>
    <w:p>
      <w:pPr>
        <w:pStyle w:val="ListBullet"/>
      </w:pPr>
      <w:r>
        <w:t>Tenir à jour les DPA des sous-traitants ; harmoniser la région d'hébergement annoncée (Irlande) avec la politique publiée.</w:t>
      </w:r>
    </w:p>
    <w:p>
      <w:pPr>
        <w:pStyle w:val="ListBullet"/>
      </w:pPr>
      <w:r>
        <w:t>Réaliser/valider la cotation des risques dans l'outil PIA CNIL avec le DPO.</w:t>
      </w:r>
    </w:p>
    <w:p>
      <w:pPr>
        <w:pStyle w:val="ListBullet"/>
      </w:pPr>
      <w:r>
        <w:t>Avis du DPO et validation par le responsable de traitement à consigner ci-dessous.</w:t>
      </w:r>
    </w:p>
    <w:p>
      <w:pPr>
        <w:spacing w:after="120"/>
      </w:pPr>
      <w:r>
        <w:rPr>
          <w:b w:val="0"/>
          <w:i w:val="0"/>
        </w:rP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Rôle</w:t>
            </w:r>
          </w:p>
        </w:tc>
        <w:tc>
          <w:tcPr>
            <w:tcW w:type="dxa" w:w="2160"/>
          </w:tcPr>
          <w:p>
            <w:r>
              <w:rPr>
                <w:b/>
                <w:sz w:val="18"/>
              </w:rPr>
              <w:t>Nom</w:t>
            </w:r>
          </w:p>
        </w:tc>
        <w:tc>
          <w:tcPr>
            <w:tcW w:type="dxa" w:w="2160"/>
          </w:tcPr>
          <w:p>
            <w:r>
              <w:rPr>
                <w:b/>
                <w:sz w:val="18"/>
              </w:rPr>
              <w:t>Avis / décision</w:t>
            </w:r>
          </w:p>
        </w:tc>
        <w:tc>
          <w:tcPr>
            <w:tcW w:type="dxa" w:w="2160"/>
          </w:tcPr>
          <w:p>
            <w:r>
              <w:rPr>
                <w:b/>
                <w:sz w:val="18"/>
              </w:rPr>
              <w:t>Date</w:t>
            </w:r>
          </w:p>
        </w:tc>
      </w:tr>
      <w:tr>
        <w:tc>
          <w:tcPr>
            <w:tcW w:type="dxa" w:w="2160"/>
          </w:tcPr>
          <w:p>
            <w:r>
              <w:rPr>
                <w:sz w:val="18"/>
              </w:rPr>
              <w:t>Responsable de traitement</w:t>
            </w:r>
          </w:p>
        </w:tc>
        <w:tc>
          <w:tcPr>
            <w:tcW w:type="dxa" w:w="2160"/>
          </w:tcPr>
          <w:p>
            <w:r>
              <w:rPr>
                <w:sz w:val="18"/>
              </w:rPr>
              <w:t>[À COMPLÉTER]</w:t>
            </w:r>
          </w:p>
        </w:tc>
        <w:tc>
          <w:tcPr>
            <w:tcW w:type="dxa" w:w="2160"/>
          </w:tcPr>
          <w:p>
            <w:r>
              <w:rPr>
                <w:sz w:val="18"/>
              </w:rPr>
            </w:r>
          </w:p>
        </w:tc>
        <w:tc>
          <w:tcPr>
            <w:tcW w:type="dxa" w:w="2160"/>
          </w:tcPr>
          <w:p>
            <w:r>
              <w:rPr>
                <w:sz w:val="18"/>
              </w:rPr>
            </w:r>
          </w:p>
        </w:tc>
      </w:tr>
      <w:tr>
        <w:tc>
          <w:tcPr>
            <w:tcW w:type="dxa" w:w="2160"/>
          </w:tcPr>
          <w:p>
            <w:r>
              <w:rPr>
                <w:sz w:val="18"/>
              </w:rPr>
              <w:t>DPO</w:t>
            </w:r>
          </w:p>
        </w:tc>
        <w:tc>
          <w:tcPr>
            <w:tcW w:type="dxa" w:w="2160"/>
          </w:tcPr>
          <w:p>
            <w:r>
              <w:rPr>
                <w:sz w:val="18"/>
              </w:rPr>
              <w:t>[À COMPLÉTER]</w:t>
            </w:r>
          </w:p>
        </w:tc>
        <w:tc>
          <w:tcPr>
            <w:tcW w:type="dxa" w:w="2160"/>
          </w:tcPr>
          <w:p>
            <w:r>
              <w:rPr>
                <w:sz w:val="18"/>
              </w:rPr>
            </w:r>
          </w:p>
        </w:tc>
        <w:tc>
          <w:tcPr>
            <w:tcW w:type="dxa" w:w="2160"/>
          </w:tcPr>
          <w:p>
            <w:r>
              <w:rPr>
                <w:sz w:val="18"/>
              </w:rPr>
            </w:r>
          </w:p>
        </w:tc>
      </w:tr>
      <w:tr>
        <w:tc>
          <w:tcPr>
            <w:tcW w:type="dxa" w:w="2160"/>
          </w:tcPr>
          <w:p>
            <w:r>
              <w:rPr>
                <w:sz w:val="18"/>
              </w:rPr>
              <w:t>Avis des personnes concernées (le cas échéant)</w:t>
            </w:r>
          </w:p>
        </w:tc>
        <w:tc>
          <w:tcPr>
            <w:tcW w:type="dxa" w:w="2160"/>
          </w:tcPr>
          <w:p>
            <w:r>
              <w:rPr>
                <w:sz w:val="18"/>
              </w:rPr>
              <w:t>[À COMPLÉTER]</w:t>
            </w:r>
          </w:p>
        </w:tc>
        <w:tc>
          <w:tcPr>
            <w:tcW w:type="dxa" w:w="2160"/>
          </w:tcPr>
          <w:p>
            <w:r>
              <w:rPr>
                <w:sz w:val="18"/>
              </w:rPr>
            </w:r>
          </w:p>
        </w:tc>
        <w:tc>
          <w:tcPr>
            <w:tcW w:type="dxa" w:w="2160"/>
          </w:tcPr>
          <w:p>
            <w:r>
              <w:rPr>
                <w:sz w:val="18"/>
              </w:rPr>
            </w:r>
          </w:p>
        </w:tc>
      </w:tr>
    </w:tbl>
    <w:p>
      <w:pPr>
        <w:spacing w:after="120"/>
      </w:pPr>
      <w:r>
        <w:rPr>
          <w:b w:val="0"/>
          <w:i/>
          <w:color w:val="475565"/>
          <w:sz w:val="17"/>
        </w:rPr>
        <w:t>Cette AIPD est un document de travail à valider par le DPO. Elle ne constitue pas un avis juridique. Outil recommandé : logiciel PIA de la CNIL.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