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68"/>
        </w:rPr>
        <w:t>BUUPP</w:t>
      </w:r>
    </w:p>
    <w:p>
      <w:pPr>
        <w:jc w:val="center"/>
      </w:pPr>
      <w:r>
        <w:rPr>
          <w:color w:val="0F172A"/>
          <w:sz w:val="30"/>
        </w:rPr>
        <w:t>Mesures de sécurité et de protection des données personnelles</w:t>
      </w:r>
    </w:p>
    <w:p>
      <w:pPr>
        <w:jc w:val="center"/>
      </w:pPr>
      <w:r>
        <w:rPr>
          <w:i/>
          <w:color w:val="475565"/>
          <w:sz w:val="22"/>
        </w:rPr>
        <w:t>Dossier de conformité RGPD — à présenter en cas de contrôle (CNIL ou autre autorité)</w:t>
      </w:r>
    </w:p>
    <w:p/>
    <w:p>
      <w:pPr>
        <w:jc w:val="center"/>
      </w:pPr>
      <w:r>
        <w:rPr>
          <w:b/>
        </w:rPr>
        <w:t>Éditeur : Majelink — Plateforme BUUPP</w:t>
        <w:br/>
      </w:r>
      <w:r>
        <w:t>RCS Pau 892 514 167 · 12 Impasse des Étriers, 64140 Lons</w:t>
        <w:br/>
      </w:r>
      <w:r>
        <w:t>Contact DPO : dp.buupp@buupp.com · Contact : contact@buupp.com</w:t>
        <w:br/>
      </w:r>
      <w:r>
        <w:t>Version du document : 14/06/2026</w:t>
      </w:r>
    </w:p>
    <w:p>
      <w:r>
        <w:br w:type="page"/>
      </w:r>
    </w:p>
    <w:p>
      <w:pPr>
        <w:pStyle w:val="Heading1"/>
      </w:pPr>
      <w:r>
        <w:rPr>
          <w:color w:val="4F46E5"/>
        </w:rPr>
        <w:t>0. Objet du document</w:t>
      </w:r>
    </w:p>
    <w:p>
      <w:pPr>
        <w:spacing w:after="120"/>
      </w:pPr>
      <w:r>
        <w:rPr>
          <w:b w:val="0"/>
          <w:i w:val="0"/>
        </w:rPr>
        <w:t>BUUPP est une plateforme française de mise en relation rémunérée à double consentement entre des particuliers (« prospects ») et des professionnels. Les particuliers acceptent, sollicitation par sollicitation, d'être contactés en échange d'une rémunération ; aucune donnée n'est transmise sans leur accord explicite.</w:t>
      </w:r>
    </w:p>
    <w:p>
      <w:pPr>
        <w:spacing w:after="120"/>
      </w:pPr>
      <w:r>
        <w:rPr>
          <w:b w:val="0"/>
          <w:i w:val="0"/>
        </w:rPr>
        <w:t>Ce document recense les mesures techniques et organisationnelles mises en œuvre pour assurer la sécurité et la protection des données personnelles, et indique pour chacune où la vérifier dans le système (fichier de code, migration de base de données, configuration). Il est destiné à répondre à un contrôle de la CNIL ou d'une autre autorité.</w:t>
      </w:r>
    </w:p>
    <w:p>
      <w:pPr>
        <w:spacing w:after="120"/>
      </w:pPr>
      <w:r>
        <w:rPr>
          <w:b w:val="0"/>
          <w:i/>
        </w:rPr>
        <w:t>Principe directeur : la protection des données est intégrée dès la conception (privacy by design) et par défaut (privacy by default). L'expertise RGPD est portée par le fondateur, juriste spécialisé en protection des données personnelles.</w:t>
      </w:r>
    </w:p>
    <w:p>
      <w:pPr>
        <w:pStyle w:val="Heading1"/>
      </w:pPr>
      <w:r>
        <w:rPr>
          <w:color w:val="4F46E5"/>
        </w:rPr>
        <w:t>1. Pseudonymisation et minimisation des données</w:t>
      </w:r>
    </w:p>
    <w:p>
      <w:pPr>
        <w:spacing w:after="120"/>
      </w:pPr>
      <w:r>
        <w:rPr>
          <w:b w:val="0"/>
          <w:i w:val="0"/>
        </w:rPr>
        <w:t>Les données des prospects sont stockées en base mais ne sont JAMAIS transmises telles quelles au professionnel. La transformation est appliquée à la lecture, côté serveur :</w:t>
      </w:r>
    </w:p>
    <w:p>
      <w:pPr>
        <w:pStyle w:val="ListBullet"/>
      </w:pPr>
      <w:r>
        <w:t>nom → masquage (initiale + points) ; e-mail → alias watermarqué ; date de naissance → tranche d'âge de 5 ans ; code postal → département ; adresse précise / poste / revenus → suppression (jamais transmis) ; véhicule, animaux, foyer → catégorisation.</w:t>
      </w:r>
    </w:p>
    <w:p>
      <w:pPr>
        <w:pStyle w:val="ListBullet"/>
      </w:pPr>
      <w:r>
        <w:t>Conséquence : seul BUUPP peut relier un profil pseudonymisé à la personne réelle (« réversible par buupp seul »).</w:t>
      </w:r>
    </w:p>
    <w:p>
      <w:pPr>
        <w:spacing w:after="200"/>
      </w:pPr>
      <w:r>
        <w:rPr>
          <w:b/>
          <w:color w:val="475565"/>
          <w:sz w:val="18"/>
        </w:rPr>
        <w:t xml:space="preserve">Preuve / vérifiable dans : </w:t>
      </w:r>
      <w:r>
        <w:rPr>
          <w:rFonts w:ascii="Consolas" w:hAnsi="Consolas"/>
          <w:color w:val="475565"/>
          <w:sz w:val="18"/>
        </w:rPr>
        <w:t>lib/pro/pseudonymize.ts ; appliqué dans app/api/pro/contacts/[relationId]/details/route.ts</w:t>
      </w:r>
    </w:p>
    <w:p>
      <w:pPr>
        <w:spacing w:after="120"/>
      </w:pPr>
      <w:r>
        <w:rPr>
          <w:b w:val="0"/>
          <w:i w:val="0"/>
        </w:rPr>
        <w:t>Minimisation par finalité : lorsqu'un professionnel crée une campagne, seuls les paliers de données strictement nécessaires à l'objectif choisi sont autorisés et facturés. Rien de superflu ne circule.</w:t>
      </w:r>
    </w:p>
    <w:p>
      <w:pPr>
        <w:spacing w:after="200"/>
      </w:pPr>
      <w:r>
        <w:rPr>
          <w:b/>
          <w:color w:val="475565"/>
          <w:sz w:val="18"/>
        </w:rPr>
        <w:t xml:space="preserve">Preuve / vérifiable dans : </w:t>
      </w:r>
      <w:r>
        <w:rPr>
          <w:rFonts w:ascii="Consolas" w:hAnsi="Consolas"/>
          <w:color w:val="475565"/>
          <w:sz w:val="18"/>
        </w:rPr>
        <w:t>Wizard de campagne (Objectives.jsx / Pro.jsx) ; page publique /minimisation</w:t>
      </w:r>
    </w:p>
    <w:p>
      <w:pPr>
        <w:pStyle w:val="Heading1"/>
      </w:pPr>
      <w:r>
        <w:rPr>
          <w:color w:val="4F46E5"/>
        </w:rPr>
        <w:t>2. Consentement (double consentement)</w:t>
      </w:r>
    </w:p>
    <w:p>
      <w:pPr>
        <w:spacing w:after="120"/>
      </w:pPr>
      <w:r>
        <w:rPr>
          <w:b w:val="0"/>
          <w:i w:val="0"/>
        </w:rPr>
        <w:t>Deux consentements explicites sont requis avant toute transmission : (1) l'acceptation des CGU par le prospect à l'inscription, (2) l'acceptation explicite de chaque sollicitation d'un professionnel. Chaque accord est strictement limité à une seule sollicitation — pas de réutilisation ni de revente.</w:t>
      </w:r>
    </w:p>
    <w:p>
      <w:pPr>
        <w:spacing w:after="200"/>
      </w:pPr>
      <w:r>
        <w:rPr>
          <w:b/>
          <w:color w:val="475565"/>
          <w:sz w:val="18"/>
        </w:rPr>
        <w:t xml:space="preserve">Preuve / vérifiable dans : </w:t>
      </w:r>
      <w:r>
        <w:rPr>
          <w:rFonts w:ascii="Consolas" w:hAnsi="Consolas"/>
          <w:color w:val="475565"/>
          <w:sz w:val="18"/>
        </w:rPr>
        <w:t>lib/cnil/consent.ts ; flux d'acceptation des sollicitations ; CGU /cgu, /cgv</w:t>
      </w:r>
    </w:p>
    <w:p>
      <w:pPr>
        <w:pStyle w:val="Heading1"/>
      </w:pPr>
      <w:r>
        <w:rPr>
          <w:color w:val="4F46E5"/>
        </w:rPr>
        <w:t>3. Sécurité technique</w:t>
      </w:r>
    </w:p>
    <w:p>
      <w:pPr>
        <w:pStyle w:val="ListBullet"/>
      </w:pPr>
      <w:r>
        <w:rPr>
          <w:b/>
        </w:rPr>
        <w:t xml:space="preserve">Hébergement UE — </w:t>
      </w:r>
      <w:r>
        <w:t>Hébergement dans l'Union européenne : base de données Supabase (PostgreSQL) en région eu-west-1 (Irlande) ; application sur Vercel.</w:t>
      </w:r>
    </w:p>
    <w:p>
      <w:pPr>
        <w:pStyle w:val="ListBullet"/>
      </w:pPr>
      <w:r>
        <w:rPr>
          <w:b/>
        </w:rPr>
        <w:t xml:space="preserve">Chiffrement — </w:t>
      </w:r>
      <w:r>
        <w:t>Chiffrement en transit (HTTPS/TLS partout) et au repos (chiffrement Supabase au niveau base et stockage).</w:t>
      </w:r>
    </w:p>
    <w:p>
      <w:pPr>
        <w:pStyle w:val="ListBullet"/>
      </w:pPr>
      <w:r>
        <w:rPr>
          <w:b/>
        </w:rPr>
        <w:t xml:space="preserve">Authentification — </w:t>
      </w:r>
      <w:r>
        <w:t>Authentification gérée par Clerk (sessions, JWT) ; les routes non publiques sont protégées par un middleware (proxy.ts) — un visiteur non authentifié ne peut accéder à aucune donnée prospect.</w:t>
      </w:r>
    </w:p>
    <w:p>
      <w:pPr>
        <w:pStyle w:val="ListBullet"/>
      </w:pPr>
      <w:r>
        <w:rPr>
          <w:b/>
        </w:rPr>
        <w:t xml:space="preserve">Cloisonnement (RLS) — </w:t>
      </w:r>
      <w:r>
        <w:t>Row Level Security (RLS) activée sur les tables sensibles ; les tables d'audit et internes n'ont AUCUNE policy (accès réservé au rôle technique service_role côté serveur). Ni prospect, ni professionnel, ni visiteur ne peut lire les tables d'audit.</w:t>
      </w:r>
    </w:p>
    <w:p>
      <w:pPr>
        <w:pStyle w:val="ListBullet"/>
      </w:pPr>
      <w:r>
        <w:rPr>
          <w:b/>
        </w:rPr>
        <w:t xml:space="preserve">Rate-limiting — </w:t>
      </w:r>
      <w:r>
        <w:t>Limitation de débit (rate-limiting) sur les endpoints publics et sensibles (contact, liste d'attente, décisions, vérification téléphone…) pour prévenir l'abus et l'énumération.</w:t>
      </w:r>
    </w:p>
    <w:p>
      <w:pPr>
        <w:pStyle w:val="ListBullet"/>
      </w:pPr>
      <w:r>
        <w:rPr>
          <w:b/>
        </w:rPr>
        <w:t xml:space="preserve">Paiements — </w:t>
      </w:r>
      <w:r>
        <w:t>Paiements et KYC délégués à Stripe (Connect) : les IBAN sortants et la vérification d'identité sont gérés par Stripe (environnement certifié PCI-DSS), pas stockés en clair par BUUPP.</w:t>
      </w:r>
    </w:p>
    <w:p>
      <w:pPr>
        <w:spacing w:after="200"/>
      </w:pPr>
      <w:r>
        <w:rPr>
          <w:b/>
          <w:color w:val="475565"/>
          <w:sz w:val="18"/>
        </w:rPr>
        <w:t xml:space="preserve">Preuve / vérifiable dans : </w:t>
      </w:r>
      <w:r>
        <w:rPr>
          <w:rFonts w:ascii="Consolas" w:hAnsi="Consolas"/>
          <w:color w:val="475565"/>
          <w:sz w:val="18"/>
        </w:rPr>
        <w:t>proxy.ts ; lib/rate-limit/check.ts ; migrations RLS supabase/migrations/* ; app/api/prospect/payout/onboarding/route.ts ; app/rgpd/page.tsx</w:t>
      </w:r>
    </w:p>
    <w:p>
      <w:pPr>
        <w:pStyle w:val="Heading1"/>
      </w:pPr>
      <w:r>
        <w:rPr>
          <w:color w:val="4F46E5"/>
        </w:rPr>
        <w:t>4. Anti-fraude multicouche</w:t>
      </w:r>
    </w:p>
    <w:p>
      <w:pPr>
        <w:spacing w:after="120"/>
      </w:pPr>
      <w:r>
        <w:rPr>
          <w:b w:val="0"/>
          <w:i w:val="0"/>
        </w:rPr>
        <w:t>Mesure affichée publiquement : « Contraintes d'unicité IBAN / téléphone / rôle, honeypots sur formulaires publics, journal d'audit verrouillé des révélations. » Voici comment la démontrer :</w:t>
      </w:r>
    </w:p>
    <w:p>
      <w:pPr>
        <w:pStyle w:val="ListBullet"/>
      </w:pPr>
      <w:r>
        <w:rPr>
          <w:b/>
        </w:rPr>
        <w:t xml:space="preserve">Unicité IBAN — </w:t>
      </w:r>
      <w:r>
        <w:t>Index UNIQUE sur l'IBAN — un même IBAN ne peut être enregistré que par un seul compte (empêche le multi-comptes pour cumuler des primes).</w:t>
      </w:r>
    </w:p>
    <w:p>
      <w:pPr>
        <w:spacing w:after="200"/>
      </w:pPr>
      <w:r>
        <w:rPr>
          <w:b/>
          <w:color w:val="475565"/>
          <w:sz w:val="18"/>
        </w:rPr>
        <w:t xml:space="preserve">Preuve / vérifiable dans : </w:t>
      </w:r>
      <w:r>
        <w:rPr>
          <w:rFonts w:ascii="Consolas" w:hAnsi="Consolas"/>
          <w:color w:val="475565"/>
          <w:sz w:val="18"/>
        </w:rPr>
        <w:t>supabase/migrations/20260507150000_prospect_rib_unique_iban.sql</w:t>
      </w:r>
    </w:p>
    <w:p>
      <w:pPr>
        <w:pStyle w:val="ListBullet"/>
      </w:pPr>
      <w:r>
        <w:rPr>
          <w:b/>
        </w:rPr>
        <w:t xml:space="preserve">Unicité téléphone — </w:t>
      </w:r>
      <w:r>
        <w:t>Index UNIQUE partiel sur le téléphone (numéros non-NULL) — un numéro = un seul prospect ; toute réutilisation est rejetée (409 phone_already_used). Le numéro est par ailleurs vérifié par OTP.</w:t>
      </w:r>
    </w:p>
    <w:p>
      <w:pPr>
        <w:spacing w:after="200"/>
      </w:pPr>
      <w:r>
        <w:rPr>
          <w:b/>
          <w:color w:val="475565"/>
          <w:sz w:val="18"/>
        </w:rPr>
        <w:t xml:space="preserve">Preuve / vérifiable dans : </w:t>
      </w:r>
      <w:r>
        <w:rPr>
          <w:rFonts w:ascii="Consolas" w:hAnsi="Consolas"/>
          <w:color w:val="475565"/>
          <w:sz w:val="18"/>
        </w:rPr>
        <w:t>supabase/migrations/20260507160000_prospect_identity_unique_phone.sql ; 20260505070000_phone_verification.sql</w:t>
      </w:r>
    </w:p>
    <w:p>
      <w:pPr>
        <w:pStyle w:val="ListBullet"/>
      </w:pPr>
      <w:r>
        <w:rPr>
          <w:b/>
        </w:rPr>
        <w:t xml:space="preserve">Exclusivité de rôle — </w:t>
      </w:r>
      <w:r>
        <w:t>Trigger d'exclusivité de rôle — un même utilisateur ne peut pas être à la fois prospect et professionnel (violation 23505 → 409).</w:t>
      </w:r>
    </w:p>
    <w:p>
      <w:pPr>
        <w:spacing w:after="200"/>
      </w:pPr>
      <w:r>
        <w:rPr>
          <w:b/>
          <w:color w:val="475565"/>
          <w:sz w:val="18"/>
        </w:rPr>
        <w:t xml:space="preserve">Preuve / vérifiable dans : </w:t>
      </w:r>
      <w:r>
        <w:rPr>
          <w:rFonts w:ascii="Consolas" w:hAnsi="Consolas"/>
          <w:color w:val="475565"/>
          <w:sz w:val="18"/>
        </w:rPr>
        <w:t>supabase/migrations/20260508140000_role_exclusivity.sql</w:t>
      </w:r>
    </w:p>
    <w:p>
      <w:pPr>
        <w:pStyle w:val="ListBullet"/>
      </w:pPr>
      <w:r>
        <w:rPr>
          <w:b/>
        </w:rPr>
        <w:t xml:space="preserve">Honeypots — </w:t>
      </w:r>
      <w:r>
        <w:t>Honeypots — champ caché « website » sur les formulaires publics (contact, contact DPO, liste d'attente). Rempli = bot → soumission rejetée (événement waitlist.honeypot_blocked tracé).</w:t>
      </w:r>
    </w:p>
    <w:p>
      <w:pPr>
        <w:spacing w:after="200"/>
      </w:pPr>
      <w:r>
        <w:rPr>
          <w:b/>
          <w:color w:val="475565"/>
          <w:sz w:val="18"/>
        </w:rPr>
        <w:t xml:space="preserve">Preuve / vérifiable dans : </w:t>
      </w:r>
      <w:r>
        <w:rPr>
          <w:rFonts w:ascii="Consolas" w:hAnsi="Consolas"/>
          <w:color w:val="475565"/>
          <w:sz w:val="18"/>
        </w:rPr>
        <w:t>app/_components/HomeContactSection.tsx ; app/contact-dpo/_components/ContactDpoForm.tsx ; app/api/waitlist/route.ts</w:t>
      </w:r>
    </w:p>
    <w:p>
      <w:pPr>
        <w:pStyle w:val="ListBullet"/>
      </w:pPr>
      <w:r>
        <w:rPr>
          <w:b/>
        </w:rPr>
        <w:t xml:space="preserve">Watermarking — </w:t>
      </w:r>
      <w:r>
        <w:t>Watermarking cryptographique — l'e-mail révélé au pro est un alias unique par relation (prospect+rXXX@buupp.com, routé via Cloudflare) : toute fuite remonte au professionnel émetteur.</w:t>
      </w:r>
    </w:p>
    <w:p>
      <w:pPr>
        <w:spacing w:after="200"/>
      </w:pPr>
      <w:r>
        <w:rPr>
          <w:b/>
          <w:color w:val="475565"/>
          <w:sz w:val="18"/>
        </w:rPr>
        <w:t xml:space="preserve">Preuve / vérifiable dans : </w:t>
      </w:r>
      <w:r>
        <w:rPr>
          <w:rFonts w:ascii="Consolas" w:hAnsi="Consolas"/>
          <w:color w:val="475565"/>
          <w:sz w:val="18"/>
        </w:rPr>
        <w:t>lib/aliases/relation-email.ts</w:t>
      </w:r>
    </w:p>
    <w:p>
      <w:pPr>
        <w:pStyle w:val="ListBullet"/>
      </w:pPr>
      <w:r>
        <w:rPr>
          <w:b/>
        </w:rPr>
        <w:t xml:space="preserve">Journal verrouillé — </w:t>
      </w:r>
      <w:r>
        <w:t>Journal d'audit verrouillé des révélations — voir section 5.</w:t>
      </w:r>
    </w:p>
    <w:p>
      <w:pPr>
        <w:pStyle w:val="Heading1"/>
      </w:pPr>
      <w:r>
        <w:rPr>
          <w:color w:val="4F46E5"/>
        </w:rPr>
        <w:t>5. Journalisation et traçabilité des accès</w:t>
      </w:r>
    </w:p>
    <w:p>
      <w:pPr>
        <w:spacing w:after="120"/>
      </w:pPr>
      <w:r>
        <w:rPr>
          <w:b w:val="0"/>
          <w:i w:val="0"/>
        </w:rPr>
        <w:t>Toute révélation d'une donnée personnelle (e-mail, téléphone, nom complet, ou ouverture de la fiche détaillée) par un professionnel est journalisée dans la table pro_contact_reveals : QUI (pro), QUOI (champ), QUEL prospect (relation), QUAND (horodatage).</w:t>
      </w:r>
    </w:p>
    <w:p>
      <w:pPr>
        <w:pStyle w:val="ListBullet"/>
      </w:pPr>
      <w:r>
        <w:rPr>
          <w:b/>
        </w:rPr>
        <w:t xml:space="preserve">Garantie d'exhaustivité — </w:t>
      </w:r>
      <w:r>
        <w:t>Écriture FAIL-CLOSED (modifié le 14/06/2026) : la donnée n'est livrée que si la révélation a pu être journalisée. En cas d'échec d'écriture du journal, l'API renvoie 500 et n'expose RIEN. Aucune révélation ne peut donc avoir lieu sans trace.</w:t>
      </w:r>
    </w:p>
    <w:p>
      <w:pPr>
        <w:spacing w:after="200"/>
      </w:pPr>
      <w:r>
        <w:rPr>
          <w:b/>
          <w:color w:val="475565"/>
          <w:sz w:val="18"/>
        </w:rPr>
        <w:t xml:space="preserve">Preuve / vérifiable dans : </w:t>
      </w:r>
      <w:r>
        <w:rPr>
          <w:rFonts w:ascii="Consolas" w:hAnsi="Consolas"/>
          <w:color w:val="475565"/>
          <w:sz w:val="18"/>
        </w:rPr>
        <w:t>app/api/pro/contacts/[relationId]/reveal/route.ts ; .../details/route.ts ; app/api/pro/contacts/group-reveal/route.ts</w:t>
      </w:r>
    </w:p>
    <w:p>
      <w:pPr>
        <w:pStyle w:val="ListBullet"/>
      </w:pPr>
      <w:r>
        <w:rPr>
          <w:b/>
        </w:rPr>
        <w:t xml:space="preserve">Inviolabilité — </w:t>
      </w:r>
      <w:r>
        <w:t>Verrou append-only (appliqué en prod le 14/06/2026) : un trigger PostgreSQL rejette tout UPDATE sur le journal, y compris pour le rôle technique de l'application → les entrées sont immuables, impossibles à falsifier a posteriori.</w:t>
      </w:r>
    </w:p>
    <w:p>
      <w:pPr>
        <w:spacing w:after="200"/>
      </w:pPr>
      <w:r>
        <w:rPr>
          <w:b/>
          <w:color w:val="475565"/>
          <w:sz w:val="18"/>
        </w:rPr>
        <w:t xml:space="preserve">Preuve / vérifiable dans : </w:t>
      </w:r>
      <w:r>
        <w:rPr>
          <w:rFonts w:ascii="Consolas" w:hAnsi="Consolas"/>
          <w:color w:val="475565"/>
          <w:sz w:val="18"/>
        </w:rPr>
        <w:t>supabase/migrations/20260718120000_pro_contact_reveals_append_only.sql (trigger pro_contact_reveals_lock_update, base de prod 'buupp')</w:t>
      </w:r>
    </w:p>
    <w:p>
      <w:pPr>
        <w:pStyle w:val="ListBullet"/>
      </w:pPr>
      <w:r>
        <w:rPr>
          <w:b/>
        </w:rPr>
        <w:t xml:space="preserve">Conservation — </w:t>
      </w:r>
      <w:r>
        <w:t>Conservation limitée : 24 mois (durée de politique à valider avec le DPO), puis purge quotidienne automatique des entrées au-delà. La suppression par cascade reste possible pour l'exercice du droit à l'effacement.</w:t>
      </w:r>
    </w:p>
    <w:p>
      <w:pPr>
        <w:spacing w:after="200"/>
      </w:pPr>
      <w:r>
        <w:rPr>
          <w:b/>
          <w:color w:val="475565"/>
          <w:sz w:val="18"/>
        </w:rPr>
        <w:t xml:space="preserve">Preuve / vérifiable dans : </w:t>
      </w:r>
      <w:r>
        <w:rPr>
          <w:rFonts w:ascii="Consolas" w:hAnsi="Consolas"/>
          <w:color w:val="475565"/>
          <w:sz w:val="18"/>
        </w:rPr>
        <w:t>lib/pro/reveals-retention.ts ; cron app/api/admin/digest/route.ts</w:t>
      </w:r>
    </w:p>
    <w:p>
      <w:pPr>
        <w:spacing w:after="120"/>
      </w:pPr>
      <w:r>
        <w:rPr>
          <w:b w:val="0"/>
          <w:i w:val="0"/>
        </w:rPr>
        <w:t>Autres journaux : clics sur les icônes de contact (pro_contact_clicks, avec alerte automatique au pro en cas d'abus ≥ 3 clics/24h sur un même prospect) ; journal d'événements administrateur (admin_events) pour la supervision.</w:t>
      </w:r>
    </w:p>
    <w:p>
      <w:pPr>
        <w:spacing w:after="200"/>
      </w:pPr>
      <w:r>
        <w:rPr>
          <w:b/>
          <w:color w:val="475565"/>
          <w:sz w:val="18"/>
        </w:rPr>
        <w:t xml:space="preserve">Preuve / vérifiable dans : </w:t>
      </w:r>
      <w:r>
        <w:rPr>
          <w:rFonts w:ascii="Consolas" w:hAnsi="Consolas"/>
          <w:color w:val="475565"/>
          <w:sz w:val="18"/>
        </w:rPr>
        <w:t>supabase/migrations/20260604120000_pro_contact_clicks.sql ; lib/pro/contact-click-alert.ts ; lib/admin/events/record.ts</w:t>
      </w:r>
    </w:p>
    <w:p>
      <w:pPr>
        <w:pStyle w:val="Heading1"/>
      </w:pPr>
      <w:r>
        <w:rPr>
          <w:color w:val="4F46E5"/>
        </w:rPr>
        <w:t>6. Droits des personnes concernées</w:t>
      </w:r>
    </w:p>
    <w:p>
      <w:pPr>
        <w:pStyle w:val="ListBullet"/>
      </w:pPr>
      <w:r>
        <w:t>Droit d'accès (art. 15) : le prospect peut savoir quels professionnels ont accédé à ses données et quand (journal pro_contact_reveals).</w:t>
      </w:r>
    </w:p>
    <w:p>
      <w:pPr>
        <w:pStyle w:val="ListBullet"/>
      </w:pPr>
      <w:r>
        <w:t>Droit de rectification (art. 16) et d'effacement (art. 17) : exerçables depuis l'espace prospect ou via le DPO ; l'effacement supprime les données et, par cascade, les journaux associés.</w:t>
      </w:r>
    </w:p>
    <w:p>
      <w:pPr>
        <w:pStyle w:val="ListBullet"/>
      </w:pPr>
      <w:r>
        <w:t>Transparence (art. 12-14) : politique RGPD publique, page DPO dédiée, information cookies.</w:t>
      </w:r>
    </w:p>
    <w:p>
      <w:pPr>
        <w:spacing w:after="200"/>
      </w:pPr>
      <w:r>
        <w:rPr>
          <w:b/>
          <w:color w:val="475565"/>
          <w:sz w:val="18"/>
        </w:rPr>
        <w:t xml:space="preserve">Preuve / vérifiable dans : </w:t>
      </w:r>
      <w:r>
        <w:rPr>
          <w:rFonts w:ascii="Consolas" w:hAnsi="Consolas"/>
          <w:color w:val="475565"/>
          <w:sz w:val="18"/>
        </w:rPr>
        <w:t>Pages publiques /rgpd, /contact-dpo, /cookies, /minimisation ; espace prospect (Prospect.jsx)</w:t>
      </w:r>
    </w:p>
    <w:p>
      <w:pPr>
        <w:pStyle w:val="Heading1"/>
      </w:pPr>
      <w:r>
        <w:rPr>
          <w:color w:val="4F46E5"/>
        </w:rPr>
        <w:t>7. Limitation de la conservation</w:t>
      </w:r>
    </w:p>
    <w:p>
      <w:pPr>
        <w:spacing w:after="120"/>
      </w:pPr>
      <w:r>
        <w:rPr>
          <w:b w:val="0"/>
          <w:i w:val="0"/>
        </w:rPr>
        <w:t>Le journal d'audit des révélations est conservé 24 mois puis purgé automatiquement (cf. section 5). Les données d'un prospect sont supprimées à l'exercice de son droit à l'effacement, entraînant par cascade la suppression des relations et journaux liés.</w:t>
      </w:r>
    </w:p>
    <w:p>
      <w:pPr>
        <w:spacing w:after="120"/>
      </w:pPr>
      <w:r>
        <w:rPr>
          <w:b w:val="0"/>
          <w:i/>
        </w:rPr>
        <w:t>Point de vigilance restant : formaliser au registre des traitements la durée de conservation retenue pour chaque catégorie de données (compte, relations, journaux) après validation par le DPO.</w:t>
      </w:r>
    </w:p>
    <w:p>
      <w:pPr>
        <w:pStyle w:val="Heading1"/>
      </w:pPr>
      <w:r>
        <w:rPr>
          <w:color w:val="4F46E5"/>
        </w:rPr>
        <w:t>8. Sous-traitants et hébergeurs</w:t>
      </w:r>
    </w:p>
    <w:p>
      <w:pPr>
        <w:pStyle w:val="ListBullet"/>
      </w:pPr>
      <w:r>
        <w:t>Supabase — base de données PostgreSQL, région UE (Irlande).</w:t>
      </w:r>
    </w:p>
    <w:p>
      <w:pPr>
        <w:pStyle w:val="ListBullet"/>
      </w:pPr>
      <w:r>
        <w:t>Vercel — hébergement de l'application.</w:t>
      </w:r>
    </w:p>
    <w:p>
      <w:pPr>
        <w:pStyle w:val="ListBullet"/>
      </w:pPr>
      <w:r>
        <w:t>Clerk — authentification / gestion des identités.</w:t>
      </w:r>
    </w:p>
    <w:p>
      <w:pPr>
        <w:pStyle w:val="ListBullet"/>
      </w:pPr>
      <w:r>
        <w:t>Stripe — paiements, KYC et virements (Connect), certifié PCI-DSS.</w:t>
      </w:r>
    </w:p>
    <w:p>
      <w:pPr>
        <w:pStyle w:val="ListBullet"/>
      </w:pPr>
      <w:r>
        <w:t>Cloudflare — routage des alias e-mail watermarqués.</w:t>
      </w:r>
    </w:p>
    <w:p>
      <w:pPr>
        <w:pStyle w:val="ListBullet"/>
      </w:pPr>
      <w:r>
        <w:t>Brevo — envoi des e-mails et SMS transactionnels.</w:t>
      </w:r>
    </w:p>
    <w:p>
      <w:pPr>
        <w:spacing w:after="120"/>
      </w:pPr>
      <w:r>
        <w:rPr>
          <w:b w:val="0"/>
          <w:i/>
        </w:rPr>
        <w:t>Des accords de sous-traitance (DPA) doivent être tenus à jour avec chacun de ces prestataires et annexés au registre des traitements.</w:t>
      </w:r>
    </w:p>
    <w:p>
      <w:r>
        <w:br w:type="page"/>
      </w:r>
    </w:p>
    <w:p>
      <w:pPr>
        <w:pStyle w:val="Heading1"/>
      </w:pPr>
      <w:r>
        <w:rPr>
          <w:color w:val="4F46E5"/>
        </w:rPr>
        <w:t>9. Tableau de synthèse — mesure → preuve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Mesure</w:t>
            </w:r>
          </w:p>
        </w:tc>
        <w:tc>
          <w:tcPr>
            <w:tcW w:type="dxa" w:w="2880"/>
          </w:tcPr>
          <w:p>
            <w:r>
              <w:rPr>
                <w:b/>
              </w:rPr>
              <w:t>Mise en œuvre</w:t>
            </w:r>
          </w:p>
        </w:tc>
        <w:tc>
          <w:tcPr>
            <w:tcW w:type="dxa" w:w="2880"/>
          </w:tcPr>
          <w:p>
            <w:r>
              <w:rPr>
                <w:b/>
              </w:rPr>
              <w:t>Emplacement (preuve)</w:t>
            </w:r>
          </w:p>
        </w:tc>
      </w:tr>
      <w:tr>
        <w:tc>
          <w:tcPr>
            <w:tcW w:type="dxa" w:w="2880"/>
          </w:tcPr>
          <w:p>
            <w:r>
              <w:rPr>
                <w:sz w:val="17"/>
              </w:rPr>
              <w:t>Pseudonymisation à la lecture</w:t>
            </w:r>
          </w:p>
        </w:tc>
        <w:tc>
          <w:tcPr>
            <w:tcW w:type="dxa" w:w="2880"/>
          </w:tcPr>
          <w:p>
            <w:r>
              <w:rPr>
                <w:sz w:val="17"/>
              </w:rPr>
              <w:t>Masquage/généralisation/suppression appliqués côté serveur</w:t>
            </w:r>
          </w:p>
        </w:tc>
        <w:tc>
          <w:tcPr>
            <w:tcW w:type="dxa" w:w="2880"/>
          </w:tcPr>
          <w:p>
            <w:r>
              <w:rPr>
                <w:rFonts w:ascii="Consolas" w:hAnsi="Consolas"/>
                <w:sz w:val="17"/>
              </w:rPr>
              <w:t>lib/pro/pseudonymize.ts</w:t>
            </w:r>
          </w:p>
        </w:tc>
      </w:tr>
      <w:tr>
        <w:tc>
          <w:tcPr>
            <w:tcW w:type="dxa" w:w="2880"/>
          </w:tcPr>
          <w:p>
            <w:r>
              <w:rPr>
                <w:sz w:val="17"/>
              </w:rPr>
              <w:t>E-mail watermarqué (alias)</w:t>
            </w:r>
          </w:p>
        </w:tc>
        <w:tc>
          <w:tcPr>
            <w:tcW w:type="dxa" w:w="2880"/>
          </w:tcPr>
          <w:p>
            <w:r>
              <w:rPr>
                <w:sz w:val="17"/>
              </w:rPr>
              <w:t>Alias unique par relation, traçable</w:t>
            </w:r>
          </w:p>
        </w:tc>
        <w:tc>
          <w:tcPr>
            <w:tcW w:type="dxa" w:w="2880"/>
          </w:tcPr>
          <w:p>
            <w:r>
              <w:rPr>
                <w:rFonts w:ascii="Consolas" w:hAnsi="Consolas"/>
                <w:sz w:val="17"/>
              </w:rPr>
              <w:t>lib/aliases/relation-email.ts</w:t>
            </w:r>
          </w:p>
        </w:tc>
      </w:tr>
      <w:tr>
        <w:tc>
          <w:tcPr>
            <w:tcW w:type="dxa" w:w="2880"/>
          </w:tcPr>
          <w:p>
            <w:r>
              <w:rPr>
                <w:sz w:val="17"/>
              </w:rPr>
              <w:t>Unicité IBAN</w:t>
            </w:r>
          </w:p>
        </w:tc>
        <w:tc>
          <w:tcPr>
            <w:tcW w:type="dxa" w:w="2880"/>
          </w:tcPr>
          <w:p>
            <w:r>
              <w:rPr>
                <w:sz w:val="17"/>
              </w:rPr>
              <w:t>Index UNIQUE</w:t>
            </w:r>
          </w:p>
        </w:tc>
        <w:tc>
          <w:tcPr>
            <w:tcW w:type="dxa" w:w="2880"/>
          </w:tcPr>
          <w:p>
            <w:r>
              <w:rPr>
                <w:rFonts w:ascii="Consolas" w:hAnsi="Consolas"/>
                <w:sz w:val="17"/>
              </w:rPr>
              <w:t>20260507150000_prospect_rib_unique_iban.sql</w:t>
            </w:r>
          </w:p>
        </w:tc>
      </w:tr>
      <w:tr>
        <w:tc>
          <w:tcPr>
            <w:tcW w:type="dxa" w:w="2880"/>
          </w:tcPr>
          <w:p>
            <w:r>
              <w:rPr>
                <w:sz w:val="17"/>
              </w:rPr>
              <w:t>Unicité téléphone</w:t>
            </w:r>
          </w:p>
        </w:tc>
        <w:tc>
          <w:tcPr>
            <w:tcW w:type="dxa" w:w="2880"/>
          </w:tcPr>
          <w:p>
            <w:r>
              <w:rPr>
                <w:sz w:val="17"/>
              </w:rPr>
              <w:t>Index UNIQUE partiel + OTP</w:t>
            </w:r>
          </w:p>
        </w:tc>
        <w:tc>
          <w:tcPr>
            <w:tcW w:type="dxa" w:w="2880"/>
          </w:tcPr>
          <w:p>
            <w:r>
              <w:rPr>
                <w:rFonts w:ascii="Consolas" w:hAnsi="Consolas"/>
                <w:sz w:val="17"/>
              </w:rPr>
              <w:t>20260507160000_prospect_identity_unique_phone.sql</w:t>
            </w:r>
          </w:p>
        </w:tc>
      </w:tr>
      <w:tr>
        <w:tc>
          <w:tcPr>
            <w:tcW w:type="dxa" w:w="2880"/>
          </w:tcPr>
          <w:p>
            <w:r>
              <w:rPr>
                <w:sz w:val="17"/>
              </w:rPr>
              <w:t>Exclusivité de rôle</w:t>
            </w:r>
          </w:p>
        </w:tc>
        <w:tc>
          <w:tcPr>
            <w:tcW w:type="dxa" w:w="2880"/>
          </w:tcPr>
          <w:p>
            <w:r>
              <w:rPr>
                <w:sz w:val="17"/>
              </w:rPr>
              <w:t>Trigger 23505</w:t>
            </w:r>
          </w:p>
        </w:tc>
        <w:tc>
          <w:tcPr>
            <w:tcW w:type="dxa" w:w="2880"/>
          </w:tcPr>
          <w:p>
            <w:r>
              <w:rPr>
                <w:rFonts w:ascii="Consolas" w:hAnsi="Consolas"/>
                <w:sz w:val="17"/>
              </w:rPr>
              <w:t>20260508140000_role_exclusivity.sql</w:t>
            </w:r>
          </w:p>
        </w:tc>
      </w:tr>
      <w:tr>
        <w:tc>
          <w:tcPr>
            <w:tcW w:type="dxa" w:w="2880"/>
          </w:tcPr>
          <w:p>
            <w:r>
              <w:rPr>
                <w:sz w:val="17"/>
              </w:rPr>
              <w:t>Honeypots</w:t>
            </w:r>
          </w:p>
        </w:tc>
        <w:tc>
          <w:tcPr>
            <w:tcW w:type="dxa" w:w="2880"/>
          </w:tcPr>
          <w:p>
            <w:r>
              <w:rPr>
                <w:sz w:val="17"/>
              </w:rPr>
              <w:t>Champ caché 'website' sur formulaires publics</w:t>
            </w:r>
          </w:p>
        </w:tc>
        <w:tc>
          <w:tcPr>
            <w:tcW w:type="dxa" w:w="2880"/>
          </w:tcPr>
          <w:p>
            <w:r>
              <w:rPr>
                <w:rFonts w:ascii="Consolas" w:hAnsi="Consolas"/>
                <w:sz w:val="17"/>
              </w:rPr>
              <w:t>ContactDpoForm.tsx ; HomeContactSection.tsx ; waitlist</w:t>
            </w:r>
          </w:p>
        </w:tc>
      </w:tr>
      <w:tr>
        <w:tc>
          <w:tcPr>
            <w:tcW w:type="dxa" w:w="2880"/>
          </w:tcPr>
          <w:p>
            <w:r>
              <w:rPr>
                <w:sz w:val="17"/>
              </w:rPr>
              <w:t>Journal des révélations</w:t>
            </w:r>
          </w:p>
        </w:tc>
        <w:tc>
          <w:tcPr>
            <w:tcW w:type="dxa" w:w="2880"/>
          </w:tcPr>
          <w:p>
            <w:r>
              <w:rPr>
                <w:sz w:val="17"/>
              </w:rPr>
              <w:t>qui/quoi/quand</w:t>
            </w:r>
          </w:p>
        </w:tc>
        <w:tc>
          <w:tcPr>
            <w:tcW w:type="dxa" w:w="2880"/>
          </w:tcPr>
          <w:p>
            <w:r>
              <w:rPr>
                <w:rFonts w:ascii="Consolas" w:hAnsi="Consolas"/>
                <w:sz w:val="17"/>
              </w:rPr>
              <w:t>table pro_contact_reveals</w:t>
            </w:r>
          </w:p>
        </w:tc>
      </w:tr>
      <w:tr>
        <w:tc>
          <w:tcPr>
            <w:tcW w:type="dxa" w:w="2880"/>
          </w:tcPr>
          <w:p>
            <w:r>
              <w:rPr>
                <w:sz w:val="17"/>
              </w:rPr>
              <w:t>Audit fail-closed</w:t>
            </w:r>
          </w:p>
        </w:tc>
        <w:tc>
          <w:tcPr>
            <w:tcW w:type="dxa" w:w="2880"/>
          </w:tcPr>
          <w:p>
            <w:r>
              <w:rPr>
                <w:sz w:val="17"/>
              </w:rPr>
              <w:t>Pas de journal → pas de révélation (500)</w:t>
            </w:r>
          </w:p>
        </w:tc>
        <w:tc>
          <w:tcPr>
            <w:tcW w:type="dxa" w:w="2880"/>
          </w:tcPr>
          <w:p>
            <w:r>
              <w:rPr>
                <w:rFonts w:ascii="Consolas" w:hAnsi="Consolas"/>
                <w:sz w:val="17"/>
              </w:rPr>
              <w:t>.../reveal|details|group-reveal/route.ts</w:t>
            </w:r>
          </w:p>
        </w:tc>
      </w:tr>
      <w:tr>
        <w:tc>
          <w:tcPr>
            <w:tcW w:type="dxa" w:w="2880"/>
          </w:tcPr>
          <w:p>
            <w:r>
              <w:rPr>
                <w:sz w:val="17"/>
              </w:rPr>
              <w:t>Journal append-only</w:t>
            </w:r>
          </w:p>
        </w:tc>
        <w:tc>
          <w:tcPr>
            <w:tcW w:type="dxa" w:w="2880"/>
          </w:tcPr>
          <w:p>
            <w:r>
              <w:rPr>
                <w:sz w:val="17"/>
              </w:rPr>
              <w:t>Trigger anti-UPDATE (immuable)</w:t>
            </w:r>
          </w:p>
        </w:tc>
        <w:tc>
          <w:tcPr>
            <w:tcW w:type="dxa" w:w="2880"/>
          </w:tcPr>
          <w:p>
            <w:r>
              <w:rPr>
                <w:rFonts w:ascii="Consolas" w:hAnsi="Consolas"/>
                <w:sz w:val="17"/>
              </w:rPr>
              <w:t>20260718120000_pro_contact_reveals_append_only.sql</w:t>
            </w:r>
          </w:p>
        </w:tc>
      </w:tr>
      <w:tr>
        <w:tc>
          <w:tcPr>
            <w:tcW w:type="dxa" w:w="2880"/>
          </w:tcPr>
          <w:p>
            <w:r>
              <w:rPr>
                <w:sz w:val="17"/>
              </w:rPr>
              <w:t>Rétention 24 mois</w:t>
            </w:r>
          </w:p>
        </w:tc>
        <w:tc>
          <w:tcPr>
            <w:tcW w:type="dxa" w:w="2880"/>
          </w:tcPr>
          <w:p>
            <w:r>
              <w:rPr>
                <w:sz w:val="17"/>
              </w:rPr>
              <w:t>Purge quotidienne</w:t>
            </w:r>
          </w:p>
        </w:tc>
        <w:tc>
          <w:tcPr>
            <w:tcW w:type="dxa" w:w="2880"/>
          </w:tcPr>
          <w:p>
            <w:r>
              <w:rPr>
                <w:rFonts w:ascii="Consolas" w:hAnsi="Consolas"/>
                <w:sz w:val="17"/>
              </w:rPr>
              <w:t>lib/pro/reveals-retention.ts</w:t>
            </w:r>
          </w:p>
        </w:tc>
      </w:tr>
      <w:tr>
        <w:tc>
          <w:tcPr>
            <w:tcW w:type="dxa" w:w="2880"/>
          </w:tcPr>
          <w:p>
            <w:r>
              <w:rPr>
                <w:sz w:val="17"/>
              </w:rPr>
              <w:t>RLS</w:t>
            </w:r>
          </w:p>
        </w:tc>
        <w:tc>
          <w:tcPr>
            <w:tcW w:type="dxa" w:w="2880"/>
          </w:tcPr>
          <w:p>
            <w:r>
              <w:rPr>
                <w:sz w:val="17"/>
              </w:rPr>
              <w:t>Tables d'audit sans policy (service_role only)</w:t>
            </w:r>
          </w:p>
        </w:tc>
        <w:tc>
          <w:tcPr>
            <w:tcW w:type="dxa" w:w="2880"/>
          </w:tcPr>
          <w:p>
            <w:r>
              <w:rPr>
                <w:rFonts w:ascii="Consolas" w:hAnsi="Consolas"/>
                <w:sz w:val="17"/>
              </w:rPr>
              <w:t>migrations RLS</w:t>
            </w:r>
          </w:p>
        </w:tc>
      </w:tr>
      <w:tr>
        <w:tc>
          <w:tcPr>
            <w:tcW w:type="dxa" w:w="2880"/>
          </w:tcPr>
          <w:p>
            <w:r>
              <w:rPr>
                <w:sz w:val="17"/>
              </w:rPr>
              <w:t>Rate-limiting</w:t>
            </w:r>
          </w:p>
        </w:tc>
        <w:tc>
          <w:tcPr>
            <w:tcW w:type="dxa" w:w="2880"/>
          </w:tcPr>
          <w:p>
            <w:r>
              <w:rPr>
                <w:sz w:val="17"/>
              </w:rPr>
              <w:t>Endpoints publics/sensibles</w:t>
            </w:r>
          </w:p>
        </w:tc>
        <w:tc>
          <w:tcPr>
            <w:tcW w:type="dxa" w:w="2880"/>
          </w:tcPr>
          <w:p>
            <w:r>
              <w:rPr>
                <w:rFonts w:ascii="Consolas" w:hAnsi="Consolas"/>
                <w:sz w:val="17"/>
              </w:rPr>
              <w:t>lib/rate-limit/check.ts</w:t>
            </w:r>
          </w:p>
        </w:tc>
      </w:tr>
      <w:tr>
        <w:tc>
          <w:tcPr>
            <w:tcW w:type="dxa" w:w="2880"/>
          </w:tcPr>
          <w:p>
            <w:r>
              <w:rPr>
                <w:sz w:val="17"/>
              </w:rPr>
              <w:t>Authentification</w:t>
            </w:r>
          </w:p>
        </w:tc>
        <w:tc>
          <w:tcPr>
            <w:tcW w:type="dxa" w:w="2880"/>
          </w:tcPr>
          <w:p>
            <w:r>
              <w:rPr>
                <w:sz w:val="17"/>
              </w:rPr>
              <w:t>Clerk + middleware</w:t>
            </w:r>
          </w:p>
        </w:tc>
        <w:tc>
          <w:tcPr>
            <w:tcW w:type="dxa" w:w="2880"/>
          </w:tcPr>
          <w:p>
            <w:r>
              <w:rPr>
                <w:rFonts w:ascii="Consolas" w:hAnsi="Consolas"/>
                <w:sz w:val="17"/>
              </w:rPr>
              <w:t>proxy.ts</w:t>
            </w:r>
          </w:p>
        </w:tc>
      </w:tr>
      <w:tr>
        <w:tc>
          <w:tcPr>
            <w:tcW w:type="dxa" w:w="2880"/>
          </w:tcPr>
          <w:p>
            <w:r>
              <w:rPr>
                <w:sz w:val="17"/>
              </w:rPr>
              <w:t>Hébergement UE</w:t>
            </w:r>
          </w:p>
        </w:tc>
        <w:tc>
          <w:tcPr>
            <w:tcW w:type="dxa" w:w="2880"/>
          </w:tcPr>
          <w:p>
            <w:r>
              <w:rPr>
                <w:sz w:val="17"/>
              </w:rPr>
              <w:t>Supabase eu-west-1 + Vercel</w:t>
            </w:r>
          </w:p>
        </w:tc>
        <w:tc>
          <w:tcPr>
            <w:tcW w:type="dxa" w:w="2880"/>
          </w:tcPr>
          <w:p>
            <w:r>
              <w:rPr>
                <w:rFonts w:ascii="Consolas" w:hAnsi="Consolas"/>
                <w:sz w:val="17"/>
              </w:rPr>
              <w:t>config projet</w:t>
            </w:r>
          </w:p>
        </w:tc>
      </w:tr>
    </w:tbl>
    <w:p>
      <w:pPr>
        <w:pStyle w:val="Heading1"/>
      </w:pPr>
      <w:r>
        <w:rPr>
          <w:color w:val="4F46E5"/>
        </w:rPr>
        <w:t>10. Modifications du 14/06/2026</w:t>
      </w:r>
    </w:p>
    <w:p>
      <w:pPr>
        <w:pStyle w:val="ListBullet"/>
      </w:pPr>
      <w:r>
        <w:t>Journalisation des révélations rendue FAIL-CLOSED sur les 3 endpoints (reveal, details, group-reveal) : aucune révélation sans trace.</w:t>
      </w:r>
    </w:p>
    <w:p>
      <w:pPr>
        <w:pStyle w:val="ListBullet"/>
      </w:pPr>
      <w:r>
        <w:t>Verrou append-only ajouté et APPLIQUÉ EN PRODUCTION sur le journal pro_contact_reveals (trigger anti-UPDATE).</w:t>
      </w:r>
    </w:p>
    <w:p>
      <w:pPr>
        <w:pStyle w:val="ListBullet"/>
      </w:pPr>
      <w:r>
        <w:t>Politique de conservation : rétention 24 mois + purge quotidienne automatique du journal.</w:t>
      </w:r>
    </w:p>
    <w:p/>
    <w:p>
      <w:r>
        <w:rPr>
          <w:i/>
          <w:color w:val="475565"/>
          <w:sz w:val="17"/>
        </w:rPr>
        <w:t>Document généré automatiquement à partir du code source de production. Les emplacements indiqués (« Preuve ») sont directement consultables dans le dépôt et la base de données.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