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ableCaption"/>
      </w:pPr>
      <w:r>
        <w:t xml:space="preserve">Coefficient estimates for linear model testing for changes in %dFAD effort near MPA boundaries. Numbers in parentheses are panel-robust standard errors. For MPA-level regressions (columns 1-4), standard errors are calculated at the ring-by-year level. For poled regression (column 5) standard errors are calculated at the mpa-by-ring-year level.</w:t>
      </w:r>
    </w:p>
    <w:tbl>
      <w:tblPr>
        <w:tblStyle w:val="Table"/>
        <w:tblW w:type="pct" w:w="4841"/>
        <w:tblLayout w:type="fixed"/>
        <w:tblLook w:firstRow="1" w:lastRow="1" w:firstColumn="0" w:lastColumn="0" w:noHBand="0" w:noVBand="0" w:val="0020"/>
        <w:tblCaption w:val="Coefficient estimates for linear model testing for changes in %dFAD effort near MPA boundaries. Numbers in parentheses are panel-robust standard errors. For MPA-level regressions (columns 1-4), standard errors are calculated at the ring-by-year level. For poled regression (column 5) standard errors are calculated at the mpa-by-ring-year level."/>
      </w:tblPr>
      <w:tblGrid>
        <w:gridCol w:w="1257"/>
        <w:gridCol w:w="1257"/>
        <w:gridCol w:w="1257"/>
        <w:gridCol w:w="1194"/>
        <w:gridCol w:w="1508"/>
        <w:gridCol w:w="119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sample: Ascensión</w:t>
            </w:r>
          </w:p>
        </w:tc>
        <w:tc>
          <w:tcPr/>
          <w:p>
            <w:pPr>
              <w:pStyle w:val="Compact"/>
            </w:pPr>
            <w:r>
              <w:t xml:space="preserve">sample: Galápagos</w:t>
            </w:r>
          </w:p>
        </w:tc>
        <w:tc>
          <w:tcPr/>
          <w:p>
            <w:pPr>
              <w:pStyle w:val="Compact"/>
            </w:pPr>
            <w:r>
              <w:t xml:space="preserve">sample: PIPA</w:t>
            </w:r>
          </w:p>
        </w:tc>
        <w:tc>
          <w:tcPr/>
          <w:p>
            <w:pPr>
              <w:pStyle w:val="Compact"/>
            </w:pPr>
            <w:r>
              <w:t xml:space="preserve">sample: Revillagigedo</w:t>
            </w:r>
          </w:p>
        </w:tc>
        <w:tc>
          <w:tcPr/>
          <w:p>
            <w:pPr>
              <w:pStyle w:val="Compact"/>
            </w:pPr>
            <w:r>
              <w:t xml:space="preserve">Pooled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0.867***</w:t>
            </w:r>
          </w:p>
        </w:tc>
        <w:tc>
          <w:tcPr/>
          <w:p>
            <w:pPr>
              <w:pStyle w:val="Compact"/>
            </w:pPr>
            <w:r>
              <w:t xml:space="preserve">0.450***</w:t>
            </w:r>
          </w:p>
        </w:tc>
        <w:tc>
          <w:tcPr/>
          <w:p>
            <w:pPr>
              <w:pStyle w:val="Compact"/>
            </w:pPr>
            <w:r>
              <w:t xml:space="preserve">0.267***</w:t>
            </w:r>
          </w:p>
        </w:tc>
        <w:tc>
          <w:tcPr/>
          <w:p>
            <w:pPr>
              <w:pStyle w:val="Compact"/>
            </w:pPr>
            <w:r>
              <w:t xml:space="preserve">0.020***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(0.048)</w:t>
            </w:r>
          </w:p>
        </w:tc>
        <w:tc>
          <w:tcPr/>
          <w:p>
            <w:pPr>
              <w:pStyle w:val="Compact"/>
            </w:pPr>
            <w:r>
              <w:t xml:space="preserve">(0.059)</w:t>
            </w:r>
          </w:p>
        </w:tc>
        <w:tc>
          <w:tcPr/>
          <w:p>
            <w:pPr>
              <w:pStyle w:val="Compact"/>
            </w:pPr>
            <w:r>
              <w:t xml:space="preserve">(0.042)</w:t>
            </w:r>
          </w:p>
        </w:tc>
        <w:tc>
          <w:tcPr/>
          <w:p>
            <w:pPr>
              <w:pStyle w:val="Compact"/>
            </w:pPr>
            <w:r>
              <w:t xml:space="preserve">(0.006)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-0.099</w:t>
            </w:r>
          </w:p>
        </w:tc>
        <w:tc>
          <w:tcPr/>
          <w:p>
            <w:pPr>
              <w:pStyle w:val="Compact"/>
            </w:pPr>
            <w:r>
              <w:t xml:space="preserve">0.052</w:t>
            </w:r>
          </w:p>
        </w:tc>
        <w:tc>
          <w:tcPr/>
          <w:p>
            <w:pPr>
              <w:pStyle w:val="Compact"/>
            </w:pPr>
            <w:r>
              <w:t xml:space="preserve">0.041</w:t>
            </w:r>
          </w:p>
        </w:tc>
        <w:tc>
          <w:tcPr/>
          <w:p>
            <w:pPr>
              <w:pStyle w:val="Compact"/>
            </w:pPr>
            <w:r>
              <w:t xml:space="preserve">-0.010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(0.083)</w:t>
            </w:r>
          </w:p>
        </w:tc>
        <w:tc>
          <w:tcPr/>
          <w:p>
            <w:pPr>
              <w:pStyle w:val="Compact"/>
            </w:pPr>
            <w:r>
              <w:t xml:space="preserve">(0.073)</w:t>
            </w:r>
          </w:p>
        </w:tc>
        <w:tc>
          <w:tcPr/>
          <w:p>
            <w:pPr>
              <w:pStyle w:val="Compact"/>
            </w:pPr>
            <w:r>
              <w:t xml:space="preserve">(0.074)</w:t>
            </w:r>
          </w:p>
        </w:tc>
        <w:tc>
          <w:tcPr/>
          <w:p>
            <w:pPr>
              <w:pStyle w:val="Compact"/>
            </w:pPr>
            <w:r>
              <w:t xml:space="preserve">(0.008)</w:t>
            </w:r>
          </w:p>
        </w:tc>
        <w:tc>
          <w:tcPr/>
          <w:p>
            <w:pPr>
              <w:pStyle w:val="Compact"/>
            </w:pPr>
            <w:r>
              <w:t xml:space="preserve">(0.044)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 nm ring</w:t>
            </w:r>
          </w:p>
        </w:tc>
        <w:tc>
          <w:tcPr/>
          <w:p>
            <w:pPr>
              <w:pStyle w:val="Compact"/>
            </w:pPr>
            <w:r>
              <w:t xml:space="preserve">0.081</w:t>
            </w:r>
          </w:p>
        </w:tc>
        <w:tc>
          <w:tcPr/>
          <w:p>
            <w:pPr>
              <w:pStyle w:val="Compact"/>
            </w:pPr>
            <w:r>
              <w:t xml:space="preserve">-0.010</w:t>
            </w:r>
          </w:p>
        </w:tc>
        <w:tc>
          <w:tcPr/>
          <w:p>
            <w:pPr>
              <w:pStyle w:val="Compact"/>
            </w:pPr>
            <w:r>
              <w:t xml:space="preserve">0.050</w:t>
            </w:r>
          </w:p>
        </w:tc>
        <w:tc>
          <w:tcPr/>
          <w:p>
            <w:pPr>
              <w:pStyle w:val="Compact"/>
            </w:pPr>
            <w:r>
              <w:t xml:space="preserve">-0.008</w:t>
            </w:r>
          </w:p>
        </w:tc>
        <w:tc>
          <w:tcPr/>
          <w:p>
            <w:pPr>
              <w:pStyle w:val="Compact"/>
            </w:pPr>
            <w:r>
              <w:t xml:space="preserve">0.028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(0.068)</w:t>
            </w:r>
          </w:p>
        </w:tc>
        <w:tc>
          <w:tcPr/>
          <w:p>
            <w:pPr>
              <w:pStyle w:val="Compact"/>
            </w:pPr>
            <w:r>
              <w:t xml:space="preserve">(0.083)</w:t>
            </w:r>
          </w:p>
        </w:tc>
        <w:tc>
          <w:tcPr/>
          <w:p>
            <w:pPr>
              <w:pStyle w:val="Compact"/>
            </w:pPr>
            <w:r>
              <w:t xml:space="preserve">(0.092)</w:t>
            </w:r>
          </w:p>
        </w:tc>
        <w:tc>
          <w:tcPr/>
          <w:p>
            <w:pPr>
              <w:pStyle w:val="Compact"/>
            </w:pPr>
            <w:r>
              <w:t xml:space="preserve">(0.006)</w:t>
            </w:r>
          </w:p>
        </w:tc>
        <w:tc>
          <w:tcPr/>
          <w:p>
            <w:pPr>
              <w:pStyle w:val="Compact"/>
            </w:pPr>
            <w:r>
              <w:t xml:space="preserve">(0.031)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 nm ring</w:t>
            </w:r>
          </w:p>
        </w:tc>
        <w:tc>
          <w:tcPr/>
          <w:p>
            <w:pPr>
              <w:pStyle w:val="Compact"/>
            </w:pPr>
            <w:r>
              <w:t xml:space="preserve">0.099</w:t>
            </w:r>
          </w:p>
        </w:tc>
        <w:tc>
          <w:tcPr/>
          <w:p>
            <w:pPr>
              <w:pStyle w:val="Compact"/>
            </w:pPr>
            <w:r>
              <w:t xml:space="preserve">-0.003</w:t>
            </w:r>
          </w:p>
        </w:tc>
        <w:tc>
          <w:tcPr/>
          <w:p>
            <w:pPr>
              <w:pStyle w:val="Compact"/>
            </w:pPr>
            <w:r>
              <w:t xml:space="preserve">-0.016</w:t>
            </w:r>
          </w:p>
        </w:tc>
        <w:tc>
          <w:tcPr/>
          <w:p>
            <w:pPr>
              <w:pStyle w:val="Compact"/>
            </w:pPr>
            <w:r>
              <w:t xml:space="preserve">-0.012*</w:t>
            </w:r>
          </w:p>
        </w:tc>
        <w:tc>
          <w:tcPr/>
          <w:p>
            <w:pPr>
              <w:pStyle w:val="Compact"/>
            </w:pPr>
            <w:r>
              <w:t xml:space="preserve">0.017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(0.060)</w:t>
            </w:r>
          </w:p>
        </w:tc>
        <w:tc>
          <w:tcPr/>
          <w:p>
            <w:pPr>
              <w:pStyle w:val="Compact"/>
            </w:pPr>
            <w:r>
              <w:t xml:space="preserve">(0.091)</w:t>
            </w:r>
          </w:p>
        </w:tc>
        <w:tc>
          <w:tcPr/>
          <w:p>
            <w:pPr>
              <w:pStyle w:val="Compact"/>
            </w:pPr>
            <w:r>
              <w:t xml:space="preserve">(0.068)</w:t>
            </w:r>
          </w:p>
        </w:tc>
        <w:tc>
          <w:tcPr/>
          <w:p>
            <w:pPr>
              <w:pStyle w:val="Compact"/>
            </w:pPr>
            <w:r>
              <w:t xml:space="preserve">(0.006)</w:t>
            </w:r>
          </w:p>
        </w:tc>
        <w:tc>
          <w:tcPr/>
          <w:p>
            <w:pPr>
              <w:pStyle w:val="Compact"/>
            </w:pPr>
            <w:r>
              <w:t xml:space="preserve">(0.033)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 nm ring</w:t>
            </w:r>
          </w:p>
        </w:tc>
        <w:tc>
          <w:tcPr/>
          <w:p>
            <w:pPr>
              <w:pStyle w:val="Compact"/>
            </w:pPr>
            <w:r>
              <w:t xml:space="preserve">0.093</w:t>
            </w:r>
          </w:p>
        </w:tc>
        <w:tc>
          <w:tcPr/>
          <w:p>
            <w:pPr>
              <w:pStyle w:val="Compact"/>
            </w:pPr>
            <w:r>
              <w:t xml:space="preserve">-0.234***</w:t>
            </w:r>
          </w:p>
        </w:tc>
        <w:tc>
          <w:tcPr/>
          <w:p>
            <w:pPr>
              <w:pStyle w:val="Compact"/>
            </w:pPr>
            <w:r>
              <w:t xml:space="preserve">-0.085*</w:t>
            </w:r>
          </w:p>
        </w:tc>
        <w:tc>
          <w:tcPr/>
          <w:p>
            <w:pPr>
              <w:pStyle w:val="Compact"/>
            </w:pPr>
            <w:r>
              <w:t xml:space="preserve">-0.014*</w:t>
            </w:r>
          </w:p>
        </w:tc>
        <w:tc>
          <w:tcPr/>
          <w:p>
            <w:pPr>
              <w:pStyle w:val="Compact"/>
            </w:pPr>
            <w:r>
              <w:t xml:space="preserve">-0.060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(0.064)</w:t>
            </w:r>
          </w:p>
        </w:tc>
        <w:tc>
          <w:tcPr/>
          <w:p>
            <w:pPr>
              <w:pStyle w:val="Compact"/>
            </w:pPr>
            <w:r>
              <w:t xml:space="preserve">(0.069)</w:t>
            </w:r>
          </w:p>
        </w:tc>
        <w:tc>
          <w:tcPr/>
          <w:p>
            <w:pPr>
              <w:pStyle w:val="Compact"/>
            </w:pPr>
            <w:r>
              <w:t xml:space="preserve">(0.046)</w:t>
            </w:r>
          </w:p>
        </w:tc>
        <w:tc>
          <w:tcPr/>
          <w:p>
            <w:pPr>
              <w:pStyle w:val="Compact"/>
            </w:pPr>
            <w:r>
              <w:t xml:space="preserve">(0.006)</w:t>
            </w:r>
          </w:p>
        </w:tc>
        <w:tc>
          <w:tcPr/>
          <w:p>
            <w:pPr>
              <w:pStyle w:val="Compact"/>
            </w:pPr>
            <w:r>
              <w:t xml:space="preserve">(0.044)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after:150 nm ring</w:t>
            </w:r>
          </w:p>
        </w:tc>
        <w:tc>
          <w:tcPr/>
          <w:p>
            <w:pPr>
              <w:pStyle w:val="Compact"/>
            </w:pPr>
            <w:r>
              <w:t xml:space="preserve">0.117</w:t>
            </w:r>
          </w:p>
        </w:tc>
        <w:tc>
          <w:tcPr/>
          <w:p>
            <w:pPr>
              <w:pStyle w:val="Compact"/>
            </w:pPr>
            <w:r>
              <w:t xml:space="preserve">0.034</w:t>
            </w:r>
          </w:p>
        </w:tc>
        <w:tc>
          <w:tcPr/>
          <w:p>
            <w:pPr>
              <w:pStyle w:val="Compact"/>
            </w:pPr>
            <w:r>
              <w:t xml:space="preserve">0.076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0.045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(0.097)</w:t>
            </w:r>
          </w:p>
        </w:tc>
        <w:tc>
          <w:tcPr/>
          <w:p>
            <w:pPr>
              <w:pStyle w:val="Compact"/>
            </w:pPr>
            <w:r>
              <w:t xml:space="preserve">(0.115)</w:t>
            </w:r>
          </w:p>
        </w:tc>
        <w:tc>
          <w:tcPr/>
          <w:p>
            <w:pPr>
              <w:pStyle w:val="Compact"/>
            </w:pPr>
            <w:r>
              <w:t xml:space="preserve">(0.142)</w:t>
            </w:r>
          </w:p>
        </w:tc>
        <w:tc>
          <w:tcPr/>
          <w:p>
            <w:pPr>
              <w:pStyle w:val="Compact"/>
            </w:pPr>
            <w:r>
              <w:t xml:space="preserve">(0.010)</w:t>
            </w:r>
          </w:p>
        </w:tc>
        <w:tc>
          <w:tcPr/>
          <w:p>
            <w:pPr>
              <w:pStyle w:val="Compact"/>
            </w:pPr>
            <w:r>
              <w:t xml:space="preserve">(0.060)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after:100 nm ring</w:t>
            </w:r>
          </w:p>
        </w:tc>
        <w:tc>
          <w:tcPr/>
          <w:p>
            <w:pPr>
              <w:pStyle w:val="Compact"/>
            </w:pPr>
            <w:r>
              <w:t xml:space="preserve">0.129</w:t>
            </w:r>
          </w:p>
        </w:tc>
        <w:tc>
          <w:tcPr/>
          <w:p>
            <w:pPr>
              <w:pStyle w:val="Compact"/>
            </w:pPr>
            <w:r>
              <w:t xml:space="preserve">-0.065</w:t>
            </w:r>
          </w:p>
        </w:tc>
        <w:tc>
          <w:tcPr/>
          <w:p>
            <w:pPr>
              <w:pStyle w:val="Compact"/>
            </w:pPr>
            <w:r>
              <w:t xml:space="preserve">0.089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(0.090)</w:t>
            </w:r>
          </w:p>
        </w:tc>
        <w:tc>
          <w:tcPr/>
          <w:p>
            <w:pPr>
              <w:pStyle w:val="Compact"/>
            </w:pPr>
            <w:r>
              <w:t xml:space="preserve">(0.132)</w:t>
            </w:r>
          </w:p>
        </w:tc>
        <w:tc>
          <w:tcPr/>
          <w:p>
            <w:pPr>
              <w:pStyle w:val="Compact"/>
            </w:pPr>
            <w:r>
              <w:t xml:space="preserve">(0.115)</w:t>
            </w:r>
          </w:p>
        </w:tc>
        <w:tc>
          <w:tcPr/>
          <w:p>
            <w:pPr>
              <w:pStyle w:val="Compact"/>
            </w:pPr>
            <w:r>
              <w:t xml:space="preserve">(0.009)</w:t>
            </w:r>
          </w:p>
        </w:tc>
        <w:tc>
          <w:tcPr/>
          <w:p>
            <w:pPr>
              <w:pStyle w:val="Compact"/>
            </w:pPr>
            <w:r>
              <w:t xml:space="preserve">(0.057)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after:50 nm ring</w:t>
            </w:r>
          </w:p>
        </w:tc>
        <w:tc>
          <w:tcPr/>
          <w:p>
            <w:pPr>
              <w:pStyle w:val="Compact"/>
            </w:pPr>
            <w:r>
              <w:t xml:space="preserve">0.139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0.186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0.061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(0.093)</w:t>
            </w:r>
          </w:p>
        </w:tc>
        <w:tc>
          <w:tcPr/>
          <w:p>
            <w:pPr>
              <w:pStyle w:val="Compact"/>
            </w:pPr>
            <w:r>
              <w:t xml:space="preserve">(0.107)</w:t>
            </w:r>
          </w:p>
        </w:tc>
        <w:tc>
          <w:tcPr/>
          <w:p>
            <w:pPr>
              <w:pStyle w:val="Compact"/>
            </w:pPr>
            <w:r>
              <w:t xml:space="preserve">(0.126)</w:t>
            </w:r>
          </w:p>
        </w:tc>
        <w:tc>
          <w:tcPr/>
          <w:p>
            <w:pPr>
              <w:pStyle w:val="Compact"/>
            </w:pPr>
            <w:r>
              <w:t xml:space="preserve">(0.009)</w:t>
            </w:r>
          </w:p>
        </w:tc>
        <w:tc>
          <w:tcPr/>
          <w:p>
            <w:pPr>
              <w:pStyle w:val="Compact"/>
            </w:pPr>
            <w:r>
              <w:t xml:space="preserve">(0.073)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152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0.401</w:t>
            </w:r>
          </w:p>
        </w:tc>
        <w:tc>
          <w:tcPr/>
          <w:p>
            <w:pPr>
              <w:pStyle w:val="Compact"/>
            </w:pPr>
            <w:r>
              <w:t xml:space="preserve">0.387</w:t>
            </w:r>
          </w:p>
        </w:tc>
        <w:tc>
          <w:tcPr/>
          <w:p>
            <w:pPr>
              <w:pStyle w:val="Compact"/>
            </w:pPr>
            <w:r>
              <w:t xml:space="preserve">0.241</w:t>
            </w:r>
          </w:p>
        </w:tc>
        <w:tc>
          <w:tcPr/>
          <w:p>
            <w:pPr>
              <w:pStyle w:val="Compact"/>
            </w:pPr>
            <w:r>
              <w:t xml:space="preserve">0.364</w:t>
            </w:r>
          </w:p>
        </w:tc>
        <w:tc>
          <w:tcPr/>
          <w:p>
            <w:pPr>
              <w:pStyle w:val="Compact"/>
            </w:pPr>
            <w:r>
              <w:t xml:space="preserve">0.874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Adj.</w:t>
            </w:r>
          </w:p>
        </w:tc>
        <w:tc>
          <w:tcPr/>
          <w:p>
            <w:pPr>
              <w:pStyle w:val="Compact"/>
            </w:pPr>
            <w:r>
              <w:t xml:space="preserve">0.226</w:t>
            </w:r>
          </w:p>
        </w:tc>
        <w:tc>
          <w:tcPr/>
          <w:p>
            <w:pPr>
              <w:pStyle w:val="Compact"/>
            </w:pPr>
            <w:r>
              <w:t xml:space="preserve">0.253</w:t>
            </w:r>
          </w:p>
        </w:tc>
        <w:tc>
          <w:tcPr/>
          <w:p>
            <w:pPr>
              <w:pStyle w:val="Compact"/>
            </w:pPr>
            <w:r>
              <w:t xml:space="preserve">0.074</w:t>
            </w:r>
          </w:p>
        </w:tc>
        <w:tc>
          <w:tcPr/>
          <w:p>
            <w:pPr>
              <w:pStyle w:val="Compact"/>
            </w:pPr>
            <w:r>
              <w:t xml:space="preserve">0.225</w:t>
            </w:r>
          </w:p>
        </w:tc>
        <w:tc>
          <w:tcPr/>
          <w:p>
            <w:pPr>
              <w:pStyle w:val="Compact"/>
            </w:pPr>
            <w:r>
              <w:t xml:space="preserve">0.865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Std.Errors</w:t>
            </w:r>
          </w:p>
        </w:tc>
        <w:tc>
          <w:tcPr/>
          <w:p>
            <w:pPr>
              <w:pStyle w:val="Compact"/>
            </w:pPr>
            <w:r>
              <w:t xml:space="preserve">Newey-West (L=1)</w:t>
            </w:r>
          </w:p>
        </w:tc>
        <w:tc>
          <w:tcPr/>
          <w:p>
            <w:pPr>
              <w:pStyle w:val="Compact"/>
            </w:pPr>
            <w:r>
              <w:t xml:space="preserve">Newey-West (L=1)</w:t>
            </w:r>
          </w:p>
        </w:tc>
        <w:tc>
          <w:tcPr/>
          <w:p>
            <w:pPr>
              <w:pStyle w:val="Compact"/>
            </w:pPr>
            <w:r>
              <w:t xml:space="preserve">Newey-West (L=1)</w:t>
            </w:r>
          </w:p>
        </w:tc>
        <w:tc>
          <w:tcPr/>
          <w:p>
            <w:pPr>
              <w:pStyle w:val="Compact"/>
            </w:pPr>
            <w:r>
              <w:t xml:space="preserve">Newey-West (L=1)</w:t>
            </w:r>
          </w:p>
        </w:tc>
        <w:tc>
          <w:tcPr/>
          <w:p>
            <w:pPr>
              <w:pStyle w:val="Compact"/>
            </w:pPr>
            <w:r>
              <w:t xml:space="preserve">Newey-West (L=2)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FE: mpa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</w:tr>
      <w:tr>
        <w:tc>
          <w:tcPr>
            <w:gridSpan w:val="6"/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 &lt; 0.1, ** p &lt; 0.05, *** p &lt; 0.01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2025-07-29T17:57:38Z</dcterms:created>
  <dcterms:modified xsi:type="dcterms:W3CDTF">2025-07-29T17:57:38Z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