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Coefficient estimates for linear model testing for changes in %dFAD effort near MPA boundaries. Numbers in parentheses are panel-robust standard errors. For MPA-level regressions (columns 1-4), standard errors are calculated at the ring-by-year level. For poled regression (column 5) standard errors are calculated at the mpa-by-ring-year level.</w:t>
      </w:r>
    </w:p>
    <w:tbl>
      <w:tblPr>
        <w:tblStyle w:val="Table"/>
        <w:tblW w:type="pct" w:w="4841"/>
        <w:tblLayout w:type="fixed"/>
        <w:tblLook w:firstRow="1" w:lastRow="1" w:firstColumn="0" w:lastColumn="0" w:noHBand="0" w:noVBand="0" w:val="0020"/>
        <w:tblCaption w:val="Coefficient estimates for linear model testing for changes in %dFAD effort near MPA boundaries. Numbers in parentheses are panel-robust standard errors. For MPA-level regressions (columns 1-4), standard errors are calculated at the ring-by-year level. For poled regression (column 5) standard errors are calculated at the mpa-by-ring-year level."/>
      </w:tblPr>
      <w:tblGrid>
        <w:gridCol w:w="1257"/>
        <w:gridCol w:w="1257"/>
        <w:gridCol w:w="1257"/>
        <w:gridCol w:w="1194"/>
        <w:gridCol w:w="1508"/>
        <w:gridCol w:w="119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sample: Ascensión</w:t>
            </w:r>
          </w:p>
        </w:tc>
        <w:tc>
          <w:tcPr/>
          <w:p>
            <w:pPr>
              <w:pStyle w:val="Compact"/>
            </w:pPr>
            <w:r>
              <w:t xml:space="preserve">sample: Galápagos</w:t>
            </w:r>
          </w:p>
        </w:tc>
        <w:tc>
          <w:tcPr/>
          <w:p>
            <w:pPr>
              <w:pStyle w:val="Compact"/>
            </w:pPr>
            <w:r>
              <w:t xml:space="preserve">sample: PIPA</w:t>
            </w:r>
          </w:p>
        </w:tc>
        <w:tc>
          <w:tcPr/>
          <w:p>
            <w:pPr>
              <w:pStyle w:val="Compact"/>
            </w:pPr>
            <w:r>
              <w:t xml:space="preserve">sample: Revillagigedo</w:t>
            </w:r>
          </w:p>
        </w:tc>
        <w:tc>
          <w:tcPr/>
          <w:p>
            <w:pPr>
              <w:pStyle w:val="Compact"/>
            </w:pPr>
            <w:r>
              <w:t xml:space="preserve">Pooled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0.895***</w:t>
            </w:r>
          </w:p>
        </w:tc>
        <w:tc>
          <w:tcPr/>
          <w:p>
            <w:pPr>
              <w:pStyle w:val="Compact"/>
            </w:pPr>
            <w:r>
              <w:t xml:space="preserve">0.443***</w:t>
            </w:r>
          </w:p>
        </w:tc>
        <w:tc>
          <w:tcPr/>
          <w:p>
            <w:pPr>
              <w:pStyle w:val="Compact"/>
            </w:pPr>
            <w:r>
              <w:t xml:space="preserve">0.277***</w:t>
            </w:r>
          </w:p>
        </w:tc>
        <w:tc>
          <w:tcPr/>
          <w:p>
            <w:pPr>
              <w:pStyle w:val="Compact"/>
            </w:pPr>
            <w:r>
              <w:t xml:space="preserve">0.015***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-0.059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(0.062)</w:t>
            </w:r>
          </w:p>
        </w:tc>
        <w:tc>
          <w:tcPr/>
          <w:p>
            <w:pPr>
              <w:pStyle w:val="Compact"/>
            </w:pPr>
            <w:r>
              <w:t xml:space="preserve">(0.078)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nm ring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-0.133</w:t>
            </w:r>
          </w:p>
        </w:tc>
        <w:tc>
          <w:tcPr/>
          <w:p>
            <w:pPr>
              <w:pStyle w:val="Compact"/>
            </w:pPr>
            <w:r>
              <w:t xml:space="preserve">-0.073</w:t>
            </w:r>
          </w:p>
        </w:tc>
        <w:tc>
          <w:tcPr/>
          <w:p>
            <w:pPr>
              <w:pStyle w:val="Compact"/>
            </w:pPr>
            <w:r>
              <w:t xml:space="preserve">-0.008**</w:t>
            </w:r>
          </w:p>
        </w:tc>
        <w:tc>
          <w:tcPr/>
          <w:p>
            <w:pPr>
              <w:pStyle w:val="Compact"/>
            </w:pPr>
            <w:r>
              <w:t xml:space="preserve">-0.036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after:100 nm ring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(0.072)</w:t>
            </w:r>
          </w:p>
        </w:tc>
        <w:tc>
          <w:tcPr/>
          <w:p>
            <w:pPr>
              <w:pStyle w:val="Compact"/>
            </w:pPr>
            <w:r>
              <w:t xml:space="preserve">(0.120)</w:t>
            </w:r>
          </w:p>
        </w:tc>
        <w:tc>
          <w:tcPr/>
          <w:p>
            <w:pPr>
              <w:pStyle w:val="Compact"/>
            </w:pPr>
            <w:r>
              <w:t xml:space="preserve">(0.109)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(L=1)</w:t>
            </w:r>
          </w:p>
        </w:tc>
        <w:tc>
          <w:tcPr/>
          <w:p>
            <w:pPr>
              <w:pStyle w:val="Compact"/>
            </w:pPr>
            <w:r>
              <w:t xml:space="preserve">Newey-West (L=2)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mpa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** p &lt; 0.05, *** p &lt; 0.01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2025-07-23T14:56:12Z</dcterms:created>
  <dcterms:modified xsi:type="dcterms:W3CDTF">2025-07-23T14:56:12Z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