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2 - Regression results for drivers of shock and stability in the face of Marine heatwaves (MHW) and COVID-19 disruptions for 245 economic units in the Baja California Peninsula.</w:t>
      </w:r>
      <w:r>
        <w:t xml:space="preserve"> </w:t>
      </w:r>
      <w:r>
        <w:t xml:space="preserve">Column 1 shows results for the effect of catch diversity on revenue losses during the MHW,</w:t>
      </w:r>
      <w:r>
        <w:t xml:space="preserve"> </w:t>
      </w:r>
      <w:r>
        <w:t xml:space="preserve">column 2 shows the effect of reliance on export markets on COVID-19 disruptions.</w:t>
      </w:r>
      <w:r>
        <w:t xml:space="preserve"> </w:t>
      </w:r>
      <w:r>
        <w:t xml:space="preserve">Column 3 shows results for the effect of both drivers on stability the coefficient of variation.</w:t>
      </w:r>
      <w:r>
        <w:t xml:space="preserve"> </w:t>
      </w:r>
      <w:r>
        <w:t xml:space="preserve">All specifications include fixed-effects by type of economic unit.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Table 2 - Regression results for drivers of shock and stability in the face of Marine heatwaves (MHW) and COVID-19 disruptions for 245 economic units in the Baja California Peninsula. Column 1 shows results for the effect of catch diversity on revenue losses during the MHW, column 2 shows the effect of reliance on export markets on COVID-19 disruptions. Column 3 shows results for the effect of both drivers on stability the coefficient of variation. All specifications include fixed-effects by type of economic unit."/>
      </w:tblPr>
      <w:tblGrid>
        <w:gridCol w:w="1980"/>
        <w:gridCol w:w="121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 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2025-03-05T16:42:53Z</dcterms:created>
  <dcterms:modified xsi:type="dcterms:W3CDTF">2025-03-05T16:42:53Z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