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S2 - Main effects of Marine Heatwaves (MHW) and COVID-19 (C19) disruptions on normalized landings by 245 economic units. Numbers in parentheses are standard errors.</w:t>
      </w:r>
      <w:r>
        <w:t xml:space="preserve"> </w:t>
      </w:r>
      <w:r>
        <w:t xml:space="preserve">The first column shows the main-text estimates, for reference. The second column uses the same variable deffinitions but allows for a free-varying y-intercept.</w:t>
      </w:r>
      <w:r>
        <w:t xml:space="preserve"> </w:t>
      </w:r>
      <w:r>
        <w:t xml:space="preserve">Column 3 redefines the periods based the marine heatwave regime ocurring between 2014-2016.</w:t>
      </w:r>
      <w:r>
        <w:t xml:space="preserve"> </w:t>
      </w:r>
      <w:r>
        <w:t xml:space="preserve">Column 4 redefines the periods beasd on the Pandemic ranging from 2020-2021.</w:t>
      </w:r>
      <w:r>
        <w:t xml:space="preserve"> </w:t>
      </w:r>
      <w:r>
        <w:t xml:space="preserve">Column 5 combines the marine heatwave and COVID-19 period deffinitions in columns three and four.</w:t>
      </w:r>
    </w:p>
    <w:tbl>
      <w:tblPr>
        <w:tblStyle w:val="Table"/>
        <w:tblW w:type="pct" w:w="4841"/>
        <w:tblLook w:firstRow="1" w:lastRow="1" w:firstColumn="0" w:lastColumn="0" w:noHBand="0" w:noVBand="0" w:val="0020"/>
        <w:jc w:val="start"/>
        <w:tblLayout w:type="fixed"/>
        <w:tblCaption w:val="Table S2 - Main effects of Marine Heatwaves (MHW) and COVID-19 (C19) disruptions on normalized landings by 245 economic units. Numbers in parentheses are standard errors. The first column shows the main-text estimates, for reference. The second column uses the same variable deffinitions but allows for a free-varying y-intercept. Column 3 redefines the periods based the marine heatwave regime ocurring between 2014-2016. Column 4 redefines the periods beasd on the Pandemic ranging from 2020-2021. Column 5 combines the marine heatwave and COVID-19 period deffinitions in columns three and four."/>
      </w:tblPr>
      <w:tblGrid>
        <w:gridCol w:w="1257"/>
        <w:gridCol w:w="817"/>
        <w:gridCol w:w="1068"/>
        <w:gridCol w:w="1131"/>
        <w:gridCol w:w="1131"/>
        <w:gridCol w:w="226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Main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MHW (2014-2016)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C19 (2020-2021)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MHW (2014-2016) &amp; C19 (2020-2021)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MHW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(MHW eu_rnpa)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(C19 eu_rnpa)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</w:tr>
      <w:tr>
        <w:tc>
          <w:tcPr>
            <w:gridSpan w:val="6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2024-07-19T16:34:22Z</dcterms:created>
  <dcterms:modified xsi:type="dcterms:W3CDTF">2024-07-19T16:34:22Z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