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p>
    <w:p w:rsidR="00695209" w:rsidRDefault="00A22C8A"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9A5C8F">
            <w:rPr>
              <w:rFonts w:ascii="Calibri Light" w:eastAsia="Times New Roman" w:hAnsi="Calibri Light" w:cs="Times New Roman"/>
              <w:color w:val="323E4F"/>
              <w:spacing w:val="5"/>
              <w:kern w:val="28"/>
              <w:sz w:val="52"/>
              <w:szCs w:val="52"/>
            </w:rPr>
            <w:t>Terminology and Definitions</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9A5C8F">
        <w:rPr>
          <w:rFonts w:ascii="Calibri" w:eastAsia="Calibri" w:hAnsi="Calibri" w:cs="Times New Roman"/>
          <w:noProof/>
        </w:rPr>
        <w:t>April 18,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9A5C8F">
        <w:rPr>
          <w:rFonts w:ascii="Calibri" w:eastAsia="Calibri" w:hAnsi="Calibri" w:cs="Times New Roman"/>
          <w:noProof/>
        </w:rPr>
        <w:t>2:35 PM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9A5C8F" w:rsidRDefault="00A22C8A">
          <w:pPr>
            <w:pStyle w:val="TOC1"/>
            <w:tabs>
              <w:tab w:val="left" w:pos="387"/>
            </w:tabs>
            <w:rPr>
              <w:rFonts w:eastAsiaTheme="minorEastAsia"/>
              <w:noProof/>
            </w:rPr>
          </w:pPr>
          <w:r>
            <w:fldChar w:fldCharType="begin"/>
          </w:r>
          <w:r>
            <w:instrText xml:space="preserve"> TOC \o "1-3" \h \z \u </w:instrText>
          </w:r>
          <w:r>
            <w:fldChar w:fldCharType="separate"/>
          </w:r>
          <w:hyperlink w:anchor="_Toc417131231" w:history="1">
            <w:r w:rsidR="009A5C8F" w:rsidRPr="00C01450">
              <w:rPr>
                <w:rStyle w:val="Hyperlink"/>
                <w:noProof/>
              </w:rPr>
              <w:t>1.</w:t>
            </w:r>
            <w:r w:rsidR="009A5C8F">
              <w:rPr>
                <w:rFonts w:eastAsiaTheme="minorEastAsia"/>
                <w:noProof/>
              </w:rPr>
              <w:tab/>
            </w:r>
            <w:r w:rsidR="009A5C8F" w:rsidRPr="00C01450">
              <w:rPr>
                <w:rStyle w:val="Hyperlink"/>
                <w:noProof/>
              </w:rPr>
              <w:t>Table of Definitions</w:t>
            </w:r>
            <w:r w:rsidR="009A5C8F">
              <w:rPr>
                <w:noProof/>
                <w:webHidden/>
              </w:rPr>
              <w:tab/>
            </w:r>
            <w:r w:rsidR="009A5C8F">
              <w:rPr>
                <w:noProof/>
                <w:webHidden/>
              </w:rPr>
              <w:fldChar w:fldCharType="begin"/>
            </w:r>
            <w:r w:rsidR="009A5C8F">
              <w:rPr>
                <w:noProof/>
                <w:webHidden/>
              </w:rPr>
              <w:instrText xml:space="preserve"> PAGEREF _Toc417131231 \h </w:instrText>
            </w:r>
            <w:r w:rsidR="009A5C8F">
              <w:rPr>
                <w:noProof/>
                <w:webHidden/>
              </w:rPr>
            </w:r>
            <w:r w:rsidR="009A5C8F">
              <w:rPr>
                <w:noProof/>
                <w:webHidden/>
              </w:rPr>
              <w:fldChar w:fldCharType="separate"/>
            </w:r>
            <w:r w:rsidR="009A5C8F">
              <w:rPr>
                <w:noProof/>
                <w:webHidden/>
              </w:rPr>
              <w:t>3</w:t>
            </w:r>
            <w:r w:rsidR="009A5C8F">
              <w:rPr>
                <w:noProof/>
                <w:webHidden/>
              </w:rPr>
              <w:fldChar w:fldCharType="end"/>
            </w:r>
          </w:hyperlink>
        </w:p>
        <w:p w:rsidR="009A5C8F" w:rsidRDefault="009A5C8F">
          <w:pPr>
            <w:pStyle w:val="TOC1"/>
            <w:tabs>
              <w:tab w:val="left" w:pos="387"/>
            </w:tabs>
            <w:rPr>
              <w:rFonts w:eastAsiaTheme="minorEastAsia"/>
              <w:noProof/>
            </w:rPr>
          </w:pPr>
          <w:hyperlink w:anchor="_Toc417131232" w:history="1">
            <w:r w:rsidRPr="00C01450">
              <w:rPr>
                <w:rStyle w:val="Hyperlink"/>
                <w:noProof/>
              </w:rPr>
              <w:t>2.</w:t>
            </w:r>
            <w:r>
              <w:rPr>
                <w:rFonts w:eastAsiaTheme="minorEastAsia"/>
                <w:noProof/>
              </w:rPr>
              <w:tab/>
            </w:r>
            <w:r w:rsidRPr="00C01450">
              <w:rPr>
                <w:rStyle w:val="Hyperlink"/>
                <w:noProof/>
              </w:rPr>
              <w:t>Citations</w:t>
            </w:r>
            <w:r>
              <w:rPr>
                <w:noProof/>
                <w:webHidden/>
              </w:rPr>
              <w:tab/>
            </w:r>
            <w:r>
              <w:rPr>
                <w:noProof/>
                <w:webHidden/>
              </w:rPr>
              <w:fldChar w:fldCharType="begin"/>
            </w:r>
            <w:r>
              <w:rPr>
                <w:noProof/>
                <w:webHidden/>
              </w:rPr>
              <w:instrText xml:space="preserve"> PAGEREF _Toc417131232 \h </w:instrText>
            </w:r>
            <w:r>
              <w:rPr>
                <w:noProof/>
                <w:webHidden/>
              </w:rPr>
            </w:r>
            <w:r>
              <w:rPr>
                <w:noProof/>
                <w:webHidden/>
              </w:rPr>
              <w:fldChar w:fldCharType="separate"/>
            </w:r>
            <w:r>
              <w:rPr>
                <w:noProof/>
                <w:webHidden/>
              </w:rPr>
              <w:t>9</w:t>
            </w:r>
            <w:r>
              <w:rPr>
                <w:noProof/>
                <w:webHidden/>
              </w:rPr>
              <w:fldChar w:fldCharType="end"/>
            </w:r>
          </w:hyperlink>
        </w:p>
        <w:p w:rsidR="00660563" w:rsidRDefault="00A22C8A"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Tables</w:t>
      </w:r>
    </w:p>
    <w:p w:rsidR="009A5C8F" w:rsidRDefault="00A22C8A">
      <w:pPr>
        <w:pStyle w:val="TableofFigures"/>
        <w:tabs>
          <w:tab w:val="right" w:leader="dot" w:pos="9350"/>
        </w:tabs>
        <w:rPr>
          <w:rFonts w:eastAsiaTheme="minorEastAsia"/>
          <w:noProof/>
        </w:rPr>
      </w:pPr>
      <w:r>
        <w:fldChar w:fldCharType="begin"/>
      </w:r>
      <w:r>
        <w:instrText xml:space="preserve"> TOC \h \z \c "Tab</w:instrText>
      </w:r>
      <w:r>
        <w:instrText xml:space="preserve">le" </w:instrText>
      </w:r>
      <w:r>
        <w:fldChar w:fldCharType="separate"/>
      </w:r>
      <w:hyperlink w:anchor="_Toc417131233" w:history="1">
        <w:r w:rsidR="009A5C8F" w:rsidRPr="00AE7262">
          <w:rPr>
            <w:rStyle w:val="Hyperlink"/>
            <w:noProof/>
          </w:rPr>
          <w:t>Table 1: Definition of Terms</w:t>
        </w:r>
        <w:r w:rsidR="009A5C8F">
          <w:rPr>
            <w:noProof/>
            <w:webHidden/>
          </w:rPr>
          <w:tab/>
        </w:r>
        <w:r w:rsidR="009A5C8F">
          <w:rPr>
            <w:noProof/>
            <w:webHidden/>
          </w:rPr>
          <w:fldChar w:fldCharType="begin"/>
        </w:r>
        <w:r w:rsidR="009A5C8F">
          <w:rPr>
            <w:noProof/>
            <w:webHidden/>
          </w:rPr>
          <w:instrText xml:space="preserve"> PAGEREF _Toc417131233 \h </w:instrText>
        </w:r>
        <w:r w:rsidR="009A5C8F">
          <w:rPr>
            <w:noProof/>
            <w:webHidden/>
          </w:rPr>
        </w:r>
        <w:r w:rsidR="009A5C8F">
          <w:rPr>
            <w:noProof/>
            <w:webHidden/>
          </w:rPr>
          <w:fldChar w:fldCharType="separate"/>
        </w:r>
        <w:r w:rsidR="009A5C8F">
          <w:rPr>
            <w:noProof/>
            <w:webHidden/>
          </w:rPr>
          <w:t>3</w:t>
        </w:r>
        <w:r w:rsidR="009A5C8F">
          <w:rPr>
            <w:noProof/>
            <w:webHidden/>
          </w:rPr>
          <w:fldChar w:fldCharType="end"/>
        </w:r>
      </w:hyperlink>
    </w:p>
    <w:p w:rsidR="00301DFD" w:rsidRPr="005B6FAE" w:rsidRDefault="00A22C8A">
      <w:pPr>
        <w:rPr>
          <w:b/>
          <w:bCs/>
          <w:noProof/>
        </w:rPr>
      </w:pPr>
      <w:r>
        <w:rPr>
          <w:b/>
          <w:bCs/>
          <w:noProof/>
        </w:rPr>
        <w:fldChar w:fldCharType="end"/>
      </w:r>
      <w:r w:rsidR="00301DFD">
        <w:br w:type="page"/>
      </w:r>
    </w:p>
    <w:p w:rsidR="00660563" w:rsidRDefault="00660563"/>
    <w:p w:rsidR="009A5C8F" w:rsidRDefault="009A5C8F" w:rsidP="009A5C8F">
      <w:pPr>
        <w:pStyle w:val="Heading1"/>
        <w:numPr>
          <w:ilvl w:val="0"/>
          <w:numId w:val="6"/>
        </w:numPr>
      </w:pPr>
      <w:bookmarkStart w:id="0" w:name="_Toc4"/>
      <w:bookmarkStart w:id="1" w:name="_Toc417131231"/>
      <w:r>
        <w:t>Table of Definitions</w:t>
      </w:r>
      <w:bookmarkEnd w:id="0"/>
      <w:bookmarkEnd w:id="1"/>
    </w:p>
    <w:p w:rsidR="009A5C8F" w:rsidRDefault="009A5C8F" w:rsidP="009A5C8F">
      <w:pPr>
        <w:pStyle w:val="Caption"/>
      </w:pPr>
      <w:bookmarkStart w:id="2" w:name="_Toc5"/>
      <w:bookmarkStart w:id="3" w:name="_Toc417131233"/>
      <w:r>
        <w:t xml:space="preserve">Table </w:t>
      </w:r>
      <w:r>
        <w:fldChar w:fldCharType="begin"/>
      </w:r>
      <w:r>
        <w:instrText>SEQ Table \* ARABIC</w:instrText>
      </w:r>
      <w:r>
        <w:fldChar w:fldCharType="separate"/>
      </w:r>
      <w:r>
        <w:rPr>
          <w:noProof/>
        </w:rPr>
        <w:t>1</w:t>
      </w:r>
      <w:r>
        <w:fldChar w:fldCharType="end"/>
      </w:r>
      <w:r>
        <w:t>: Definition of Terms</w:t>
      </w:r>
      <w:bookmarkEnd w:id="2"/>
      <w:bookmarkEnd w:id="3"/>
    </w:p>
    <w:tbl>
      <w:tblPr>
        <w:tblStyle w:val="TableGrid"/>
        <w:tblW w:w="5000" w:type="pct"/>
        <w:jc w:val="center"/>
        <w:tblLook w:val="04A0" w:firstRow="1" w:lastRow="0" w:firstColumn="1" w:lastColumn="0" w:noHBand="0" w:noVBand="1"/>
      </w:tblPr>
      <w:tblGrid>
        <w:gridCol w:w="1787"/>
        <w:gridCol w:w="6523"/>
        <w:gridCol w:w="1040"/>
      </w:tblGrid>
      <w:tr w:rsidR="009A5C8F" w:rsidTr="004025D1">
        <w:trPr>
          <w:trHeight w:val="269"/>
          <w:tblHeader/>
          <w:jc w:val="center"/>
        </w:trPr>
        <w:tc>
          <w:tcPr>
            <w:tcW w:w="0" w:type="auto"/>
            <w:vMerge w:val="restart"/>
          </w:tcPr>
          <w:p w:rsidR="009A5C8F" w:rsidRDefault="009A5C8F" w:rsidP="004025D1">
            <w:pPr>
              <w:rPr>
                <w:b/>
              </w:rPr>
            </w:pPr>
            <w:r>
              <w:rPr>
                <w:b/>
                <w:bCs/>
              </w:rPr>
              <w:t>Name</w:t>
            </w:r>
          </w:p>
        </w:tc>
        <w:tc>
          <w:tcPr>
            <w:tcW w:w="0" w:type="auto"/>
            <w:vMerge w:val="restart"/>
          </w:tcPr>
          <w:p w:rsidR="009A5C8F" w:rsidRDefault="009A5C8F" w:rsidP="004025D1">
            <w:pPr>
              <w:rPr>
                <w:b/>
              </w:rPr>
            </w:pPr>
            <w:r>
              <w:rPr>
                <w:b/>
                <w:bCs/>
              </w:rPr>
              <w:t>Description</w:t>
            </w:r>
          </w:p>
        </w:tc>
        <w:tc>
          <w:tcPr>
            <w:tcW w:w="0" w:type="auto"/>
            <w:vMerge w:val="restart"/>
          </w:tcPr>
          <w:p w:rsidR="009A5C8F" w:rsidRDefault="009A5C8F" w:rsidP="004025D1">
            <w:pPr>
              <w:rPr>
                <w:b/>
              </w:rPr>
            </w:pPr>
            <w:r>
              <w:rPr>
                <w:b/>
                <w:bCs/>
              </w:rPr>
              <w:t>Acronym</w:t>
            </w:r>
          </w:p>
        </w:tc>
      </w:tr>
      <w:tr w:rsidR="009A5C8F" w:rsidTr="004025D1">
        <w:trPr>
          <w:trHeight w:val="269"/>
          <w:jc w:val="center"/>
        </w:trPr>
        <w:tc>
          <w:tcPr>
            <w:tcW w:w="0" w:type="auto"/>
            <w:vMerge w:val="restart"/>
          </w:tcPr>
          <w:p w:rsidR="009A5C8F" w:rsidRDefault="009A5C8F" w:rsidP="004025D1">
            <w:pPr>
              <w:jc w:val="left"/>
            </w:pPr>
            <w:r>
              <w:t>Stakeholder Requirements Traceability</w:t>
            </w:r>
          </w:p>
        </w:tc>
        <w:tc>
          <w:tcPr>
            <w:tcW w:w="0" w:type="auto"/>
            <w:vMerge w:val="restart"/>
          </w:tcPr>
          <w:p w:rsidR="009A5C8F" w:rsidRDefault="009A5C8F" w:rsidP="004025D1">
            <w:pPr>
              <w:jc w:val="left"/>
            </w:pPr>
            <w:r>
              <w:t>All stakeholder requirements should have bidirectional traceability, including to their source, such as the source document or the stakeholder need.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Concept of Deployment</w:t>
            </w:r>
          </w:p>
        </w:tc>
        <w:tc>
          <w:tcPr>
            <w:tcW w:w="0" w:type="auto"/>
            <w:vMerge w:val="restart"/>
          </w:tcPr>
          <w:p w:rsidR="009A5C8F" w:rsidRDefault="009A5C8F" w:rsidP="004025D1">
            <w:pPr>
              <w:jc w:val="left"/>
            </w:pPr>
            <w:r>
              <w:t>Describes the way the system will be delivered and installed.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Concept of Operations</w:t>
            </w:r>
          </w:p>
        </w:tc>
        <w:tc>
          <w:tcPr>
            <w:tcW w:w="0" w:type="auto"/>
            <w:vMerge w:val="restart"/>
          </w:tcPr>
          <w:p w:rsidR="009A5C8F" w:rsidRDefault="009A5C8F" w:rsidP="004025D1">
            <w:pPr>
              <w:jc w:val="left"/>
            </w:pPr>
            <w:r>
              <w:t>Also known as "ConOps" - Describes the way the system works from the operator's perspective. The ConOps includes the user description and summarizes the needs, goals, and characteristics of the system's user community. This includes operation, maintenance, and support personnel. [2]  (section 4.1)</w:t>
            </w:r>
          </w:p>
        </w:tc>
        <w:tc>
          <w:tcPr>
            <w:tcW w:w="0" w:type="auto"/>
            <w:vMerge w:val="restart"/>
          </w:tcPr>
          <w:p w:rsidR="009A5C8F" w:rsidRDefault="009A5C8F" w:rsidP="004025D1">
            <w:pPr>
              <w:jc w:val="left"/>
            </w:pPr>
            <w:r>
              <w:t>ConOps</w:t>
            </w:r>
          </w:p>
        </w:tc>
      </w:tr>
      <w:tr w:rsidR="009A5C8F" w:rsidTr="004025D1">
        <w:trPr>
          <w:trHeight w:val="269"/>
          <w:jc w:val="center"/>
        </w:trPr>
        <w:tc>
          <w:tcPr>
            <w:tcW w:w="0" w:type="auto"/>
            <w:vMerge w:val="restart"/>
          </w:tcPr>
          <w:p w:rsidR="009A5C8F" w:rsidRDefault="009A5C8F" w:rsidP="004025D1">
            <w:pPr>
              <w:jc w:val="left"/>
            </w:pPr>
            <w:r>
              <w:t>Concept of Support</w:t>
            </w:r>
          </w:p>
        </w:tc>
        <w:tc>
          <w:tcPr>
            <w:tcW w:w="0" w:type="auto"/>
            <w:vMerge w:val="restart"/>
          </w:tcPr>
          <w:p w:rsidR="009A5C8F" w:rsidRDefault="009A5C8F" w:rsidP="004025D1">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Concept of Production</w:t>
            </w:r>
          </w:p>
        </w:tc>
        <w:tc>
          <w:tcPr>
            <w:tcW w:w="0" w:type="auto"/>
            <w:vMerge w:val="restart"/>
          </w:tcPr>
          <w:p w:rsidR="009A5C8F" w:rsidRDefault="009A5C8F" w:rsidP="004025D1">
            <w:pPr>
              <w:jc w:val="left"/>
            </w:pPr>
            <w:r>
              <w:t>Describes the way the system will be manufactured, including any hazardous materials used in the process.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Measures of Effectiveness Needs</w:t>
            </w:r>
          </w:p>
        </w:tc>
        <w:tc>
          <w:tcPr>
            <w:tcW w:w="0" w:type="auto"/>
            <w:vMerge w:val="restart"/>
          </w:tcPr>
          <w:p w:rsidR="009A5C8F" w:rsidRDefault="009A5C8F" w:rsidP="004025D1">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vMerge w:val="restart"/>
          </w:tcPr>
          <w:p w:rsidR="009A5C8F" w:rsidRDefault="009A5C8F" w:rsidP="004025D1">
            <w:pPr>
              <w:jc w:val="left"/>
            </w:pPr>
            <w:r>
              <w:t>MOEs</w:t>
            </w:r>
          </w:p>
        </w:tc>
      </w:tr>
      <w:tr w:rsidR="009A5C8F" w:rsidTr="004025D1">
        <w:trPr>
          <w:trHeight w:val="269"/>
          <w:jc w:val="center"/>
        </w:trPr>
        <w:tc>
          <w:tcPr>
            <w:tcW w:w="0" w:type="auto"/>
            <w:vMerge w:val="restart"/>
          </w:tcPr>
          <w:p w:rsidR="009A5C8F" w:rsidRDefault="009A5C8F" w:rsidP="004025D1">
            <w:pPr>
              <w:jc w:val="left"/>
            </w:pPr>
            <w:r>
              <w:t>Stakeholder Requirements</w:t>
            </w:r>
          </w:p>
        </w:tc>
        <w:tc>
          <w:tcPr>
            <w:tcW w:w="0" w:type="auto"/>
            <w:vMerge w:val="restart"/>
          </w:tcPr>
          <w:p w:rsidR="009A5C8F" w:rsidRDefault="009A5C8F" w:rsidP="004025D1">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Validation Criteria</w:t>
            </w:r>
          </w:p>
        </w:tc>
        <w:tc>
          <w:tcPr>
            <w:tcW w:w="0" w:type="auto"/>
            <w:vMerge w:val="restart"/>
          </w:tcPr>
          <w:p w:rsidR="009A5C8F" w:rsidRDefault="009A5C8F" w:rsidP="004025D1">
            <w:pPr>
              <w:jc w:val="left"/>
            </w:pPr>
            <w:r>
              <w:t>May specify who will perform validation activities, and the environments of the system-of-interest.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MOE Data</w:t>
            </w:r>
          </w:p>
        </w:tc>
        <w:tc>
          <w:tcPr>
            <w:tcW w:w="0" w:type="auto"/>
            <w:vMerge w:val="restart"/>
          </w:tcPr>
          <w:p w:rsidR="009A5C8F" w:rsidRDefault="009A5C8F" w:rsidP="004025D1">
            <w:pPr>
              <w:jc w:val="left"/>
            </w:pPr>
            <w:r>
              <w:t>Data provided to measure the MOEs. .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Initial RVTM</w:t>
            </w:r>
          </w:p>
        </w:tc>
        <w:tc>
          <w:tcPr>
            <w:tcW w:w="0" w:type="auto"/>
            <w:vMerge w:val="restart"/>
          </w:tcPr>
          <w:p w:rsidR="009A5C8F" w:rsidRDefault="009A5C8F" w:rsidP="004025D1">
            <w:pPr>
              <w:jc w:val="left"/>
            </w:pPr>
            <w:r>
              <w:t>Initial Requirements Verification and Traceability Matrix - A list of requirements, their verification attributes, and traceability. [2] (section 4.1)</w:t>
            </w:r>
          </w:p>
        </w:tc>
        <w:tc>
          <w:tcPr>
            <w:tcW w:w="0" w:type="auto"/>
            <w:vMerge w:val="restart"/>
          </w:tcPr>
          <w:p w:rsidR="009A5C8F" w:rsidRDefault="009A5C8F" w:rsidP="004025D1">
            <w:pPr>
              <w:jc w:val="left"/>
            </w:pPr>
            <w:r>
              <w:t>I-RVTM</w:t>
            </w:r>
          </w:p>
        </w:tc>
      </w:tr>
      <w:tr w:rsidR="009A5C8F" w:rsidTr="004025D1">
        <w:trPr>
          <w:trHeight w:val="269"/>
          <w:jc w:val="center"/>
        </w:trPr>
        <w:tc>
          <w:tcPr>
            <w:tcW w:w="0" w:type="auto"/>
            <w:vMerge w:val="restart"/>
          </w:tcPr>
          <w:p w:rsidR="009A5C8F" w:rsidRDefault="009A5C8F" w:rsidP="004025D1">
            <w:pPr>
              <w:jc w:val="left"/>
            </w:pPr>
            <w:r>
              <w:t>Analyze Needs Outputs</w:t>
            </w:r>
          </w:p>
        </w:tc>
        <w:tc>
          <w:tcPr>
            <w:tcW w:w="0" w:type="auto"/>
            <w:vMerge w:val="restart"/>
          </w:tcPr>
          <w:p w:rsidR="009A5C8F" w:rsidRDefault="009A5C8F" w:rsidP="004025D1">
            <w:pPr>
              <w:jc w:val="left"/>
            </w:pPr>
            <w:r>
              <w:t>A collection of output artifacts for the Stakeholder Requirements Definition Process establish the initial set of stakeholder requirements for project scope and associated agreements. .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Analyze Needs Inputs</w:t>
            </w:r>
          </w:p>
        </w:tc>
        <w:tc>
          <w:tcPr>
            <w:tcW w:w="0" w:type="auto"/>
            <w:vMerge w:val="restart"/>
          </w:tcPr>
          <w:p w:rsidR="009A5C8F" w:rsidRDefault="009A5C8F" w:rsidP="004025D1">
            <w:pPr>
              <w:jc w:val="left"/>
            </w:pPr>
            <w:r>
              <w:t>A collection input artifacts required for the Stakeholder Requirements Definition Process. .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Source Documents</w:t>
            </w:r>
          </w:p>
        </w:tc>
        <w:tc>
          <w:tcPr>
            <w:tcW w:w="0" w:type="auto"/>
            <w:vMerge w:val="restart"/>
          </w:tcPr>
          <w:p w:rsidR="009A5C8F" w:rsidRDefault="009A5C8F" w:rsidP="004025D1">
            <w:pPr>
              <w:jc w:val="left"/>
            </w:pPr>
            <w:r>
              <w:t>Extract, clarify, and prioritize all of the written directives embodied in the source documents relevant to the particular stage of procurement activity.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lastRenderedPageBreak/>
              <w:t>Project Constraints</w:t>
            </w:r>
          </w:p>
        </w:tc>
        <w:tc>
          <w:tcPr>
            <w:tcW w:w="0" w:type="auto"/>
            <w:vMerge w:val="restart"/>
          </w:tcPr>
          <w:p w:rsidR="009A5C8F" w:rsidRDefault="009A5C8F" w:rsidP="004025D1">
            <w:pPr>
              <w:jc w:val="left"/>
            </w:pPr>
            <w:r>
              <w:t>Includes all other constraints from the stakeholder including cost, schedule, and solution constraints.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Analyze Needs Controls and Enablers</w:t>
            </w:r>
          </w:p>
        </w:tc>
        <w:tc>
          <w:tcPr>
            <w:tcW w:w="0" w:type="auto"/>
            <w:vMerge w:val="restart"/>
          </w:tcPr>
          <w:p w:rsidR="009A5C8F" w:rsidRDefault="009A5C8F" w:rsidP="004025D1">
            <w:pPr>
              <w:jc w:val="left"/>
            </w:pPr>
            <w:r>
              <w:t>A collection of artifacts that control and enable the Stakeholder Requirements Definition Process.</w:t>
            </w:r>
          </w:p>
          <w:p w:rsidR="009A5C8F" w:rsidRDefault="009A5C8F" w:rsidP="004025D1">
            <w:pPr>
              <w:jc w:val="left"/>
            </w:pPr>
          </w:p>
          <w:p w:rsidR="009A5C8F" w:rsidRDefault="009A5C8F" w:rsidP="004025D1">
            <w:pPr>
              <w:jc w:val="left"/>
            </w:pPr>
            <w:r>
              <w:t>This includes:</w:t>
            </w:r>
          </w:p>
          <w:p w:rsidR="009A5C8F" w:rsidRDefault="009A5C8F" w:rsidP="004025D1">
            <w:pPr>
              <w:jc w:val="left"/>
            </w:pPr>
            <w:r>
              <w:t>Applicable Laws and Regulations</w:t>
            </w:r>
          </w:p>
          <w:p w:rsidR="009A5C8F" w:rsidRDefault="009A5C8F" w:rsidP="004025D1">
            <w:pPr>
              <w:jc w:val="left"/>
            </w:pPr>
            <w:r>
              <w:t>Industry Standards - relevant industry specifications and standards</w:t>
            </w:r>
          </w:p>
          <w:p w:rsidR="009A5C8F" w:rsidRDefault="009A5C8F" w:rsidP="004025D1">
            <w:pPr>
              <w:jc w:val="left"/>
            </w:pPr>
            <w:r>
              <w:t>Agreements - terms and conditions of the agreements</w:t>
            </w:r>
          </w:p>
          <w:p w:rsidR="009A5C8F" w:rsidRDefault="009A5C8F" w:rsidP="004025D1">
            <w:pPr>
              <w:jc w:val="left"/>
            </w:pPr>
            <w:r>
              <w:t>Project Procedures and Standards - including project plans</w:t>
            </w:r>
          </w:p>
          <w:p w:rsidR="009A5C8F" w:rsidRDefault="009A5C8F" w:rsidP="004025D1">
            <w:pPr>
              <w:jc w:val="left"/>
            </w:pPr>
            <w:r>
              <w:t>Project Directives</w:t>
            </w:r>
          </w:p>
          <w:p w:rsidR="009A5C8F" w:rsidRDefault="009A5C8F" w:rsidP="004025D1">
            <w:pPr>
              <w:jc w:val="left"/>
            </w:pPr>
            <w:r>
              <w:t>Organization/Enterprise Policies, Procedures, and Standards - including guidelines and reporting mechanisms</w:t>
            </w:r>
          </w:p>
          <w:p w:rsidR="009A5C8F" w:rsidRDefault="009A5C8F" w:rsidP="004025D1">
            <w:pPr>
              <w:jc w:val="left"/>
            </w:pPr>
            <w:r>
              <w:t>Organization/Enterprise Infrastructure</w:t>
            </w:r>
          </w:p>
          <w:p w:rsidR="009A5C8F" w:rsidRDefault="009A5C8F" w:rsidP="004025D1">
            <w:pPr>
              <w:jc w:val="left"/>
            </w:pPr>
            <w:r>
              <w:t>Project Infrastructure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Stakeholder Needs</w:t>
            </w:r>
          </w:p>
        </w:tc>
        <w:tc>
          <w:tcPr>
            <w:tcW w:w="0" w:type="auto"/>
            <w:vMerge w:val="restart"/>
          </w:tcPr>
          <w:p w:rsidR="009A5C8F" w:rsidRDefault="009A5C8F" w:rsidP="004025D1">
            <w:pPr>
              <w:jc w:val="left"/>
            </w:pPr>
            <w:r>
              <w:t>Description of users' and other stakeholders' needs or services that the system of interest will provide. [2]  (section 4.1)</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Conceptual System Architecture</w:t>
            </w:r>
          </w:p>
        </w:tc>
        <w:tc>
          <w:tcPr>
            <w:tcW w:w="0" w:type="auto"/>
            <w:vMerge w:val="restart"/>
          </w:tcPr>
          <w:p w:rsidR="009A5C8F" w:rsidRDefault="009A5C8F" w:rsidP="004025D1">
            <w:pPr>
              <w:jc w:val="left"/>
            </w:pPr>
            <w:r>
              <w:t xml:space="preserve">The Conceptual System Architecture (CSA) is an early view of the finalized system architecture and is typically captures in the proposal stage. </w:t>
            </w:r>
          </w:p>
          <w:p w:rsidR="009A5C8F" w:rsidRDefault="009A5C8F" w:rsidP="004025D1">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vMerge w:val="restart"/>
          </w:tcPr>
          <w:p w:rsidR="009A5C8F" w:rsidRDefault="009A5C8F" w:rsidP="004025D1">
            <w:pPr>
              <w:jc w:val="left"/>
            </w:pPr>
            <w:r>
              <w:t>CSA</w:t>
            </w:r>
          </w:p>
        </w:tc>
      </w:tr>
      <w:tr w:rsidR="009A5C8F" w:rsidTr="004025D1">
        <w:trPr>
          <w:trHeight w:val="269"/>
          <w:jc w:val="center"/>
        </w:trPr>
        <w:tc>
          <w:tcPr>
            <w:tcW w:w="0" w:type="auto"/>
            <w:vMerge w:val="restart"/>
          </w:tcPr>
          <w:p w:rsidR="009A5C8F" w:rsidRDefault="009A5C8F" w:rsidP="004025D1">
            <w:pPr>
              <w:jc w:val="left"/>
            </w:pPr>
            <w:r>
              <w:t>Review Package</w:t>
            </w:r>
          </w:p>
        </w:tc>
        <w:tc>
          <w:tcPr>
            <w:tcW w:w="0" w:type="auto"/>
            <w:vMerge w:val="restart"/>
          </w:tcPr>
          <w:p w:rsidR="009A5C8F" w:rsidRDefault="009A5C8F" w:rsidP="004025D1">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9A5C8F" w:rsidRDefault="009A5C8F" w:rsidP="004025D1">
            <w:pPr>
              <w:jc w:val="left"/>
            </w:pPr>
            <w:r>
              <w:t xml:space="preserve">The review package should highlight what items have been added, deleted or updated, e.g. document change bars, red lines, text color changes, annotation, etc. </w:t>
            </w:r>
          </w:p>
          <w:p w:rsidR="009A5C8F" w:rsidRDefault="009A5C8F" w:rsidP="004025D1">
            <w:pPr>
              <w:jc w:val="left"/>
            </w:pPr>
            <w:r>
              <w:t>The review package can consist of any type of artifact, including SysML models, documents, code, parts of the system, prototypes, etc.</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Review Comments</w:t>
            </w:r>
          </w:p>
        </w:tc>
        <w:tc>
          <w:tcPr>
            <w:tcW w:w="0" w:type="auto"/>
            <w:vMerge w:val="restart"/>
          </w:tcPr>
          <w:p w:rsidR="009A5C8F" w:rsidRDefault="009A5C8F" w:rsidP="004025D1">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9A5C8F" w:rsidRDefault="009A5C8F" w:rsidP="004025D1">
            <w:pPr>
              <w:jc w:val="left"/>
            </w:pPr>
          </w:p>
          <w:p w:rsidR="009A5C8F" w:rsidRDefault="009A5C8F" w:rsidP="004025D1">
            <w:pPr>
              <w:jc w:val="left"/>
            </w:pPr>
            <w:r>
              <w:t>The set of comments in the Review Comments artifact can be of multiple forms, e.g.  an annotated version of the review package, a separate report, etc.</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lastRenderedPageBreak/>
              <w:t>Regulatory Documents</w:t>
            </w:r>
          </w:p>
        </w:tc>
        <w:tc>
          <w:tcPr>
            <w:tcW w:w="0" w:type="auto"/>
            <w:vMerge w:val="restart"/>
          </w:tcPr>
          <w:p w:rsidR="009A5C8F" w:rsidRDefault="009A5C8F" w:rsidP="004025D1">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Acquirer</w:t>
            </w:r>
          </w:p>
        </w:tc>
        <w:tc>
          <w:tcPr>
            <w:tcW w:w="0" w:type="auto"/>
            <w:vMerge w:val="restart"/>
          </w:tcPr>
          <w:p w:rsidR="009A5C8F" w:rsidRDefault="009A5C8F" w:rsidP="004025D1">
            <w:pPr>
              <w:jc w:val="left"/>
            </w:pPr>
            <w:r>
              <w:t>The stakeholder that acquires or procures a product or service from a supplier.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Baseline</w:t>
            </w:r>
          </w:p>
        </w:tc>
        <w:tc>
          <w:tcPr>
            <w:tcW w:w="0" w:type="auto"/>
            <w:vMerge w:val="restart"/>
          </w:tcPr>
          <w:p w:rsidR="009A5C8F" w:rsidRDefault="009A5C8F" w:rsidP="004025D1">
            <w:pPr>
              <w:jc w:val="left"/>
            </w:pPr>
            <w:r>
              <w:t>The gate-controlled step-by-step elaboration of business, budget, functional, performance, and physical characteristics, mutually agreed to by buyer and seller, and under formal change control.</w:t>
            </w:r>
          </w:p>
          <w:p w:rsidR="009A5C8F" w:rsidRDefault="009A5C8F" w:rsidP="004025D1">
            <w:pPr>
              <w:jc w:val="left"/>
            </w:pPr>
            <w:r>
              <w:t>Baselines can be modified between formal decision gates by mutual consent through the change control process.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Commercial off-the-shelf</w:t>
            </w:r>
          </w:p>
        </w:tc>
        <w:tc>
          <w:tcPr>
            <w:tcW w:w="0" w:type="auto"/>
            <w:vMerge w:val="restart"/>
          </w:tcPr>
          <w:p w:rsidR="009A5C8F" w:rsidRDefault="009A5C8F" w:rsidP="004025D1">
            <w:pPr>
              <w:jc w:val="left"/>
            </w:pPr>
            <w:r>
              <w:t>Commercial items that require no unique acquirer modifications or maintenance over the life cycle of the product to meet the needs of the procuring agency. [2]</w:t>
            </w:r>
          </w:p>
        </w:tc>
        <w:tc>
          <w:tcPr>
            <w:tcW w:w="0" w:type="auto"/>
            <w:vMerge w:val="restart"/>
          </w:tcPr>
          <w:p w:rsidR="009A5C8F" w:rsidRDefault="009A5C8F" w:rsidP="004025D1">
            <w:pPr>
              <w:jc w:val="left"/>
            </w:pPr>
            <w:r>
              <w:t>COTS</w:t>
            </w:r>
          </w:p>
        </w:tc>
      </w:tr>
      <w:tr w:rsidR="009A5C8F" w:rsidTr="004025D1">
        <w:trPr>
          <w:trHeight w:val="269"/>
          <w:jc w:val="center"/>
        </w:trPr>
        <w:tc>
          <w:tcPr>
            <w:tcW w:w="0" w:type="auto"/>
            <w:vMerge w:val="restart"/>
          </w:tcPr>
          <w:p w:rsidR="009A5C8F" w:rsidRDefault="009A5C8F" w:rsidP="004025D1">
            <w:pPr>
              <w:jc w:val="left"/>
            </w:pPr>
            <w:r>
              <w:t>Component</w:t>
            </w:r>
          </w:p>
        </w:tc>
        <w:tc>
          <w:tcPr>
            <w:tcW w:w="0" w:type="auto"/>
            <w:vMerge w:val="restart"/>
          </w:tcPr>
          <w:p w:rsidR="009A5C8F" w:rsidRDefault="009A5C8F" w:rsidP="004025D1">
            <w:pPr>
              <w:jc w:val="left"/>
            </w:pPr>
            <w:r>
              <w:t>A system element comprised of multiple parts; a cleanly identified item.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Configuration item</w:t>
            </w:r>
          </w:p>
        </w:tc>
        <w:tc>
          <w:tcPr>
            <w:tcW w:w="0" w:type="auto"/>
            <w:vMerge w:val="restart"/>
          </w:tcPr>
          <w:p w:rsidR="009A5C8F" w:rsidRDefault="009A5C8F" w:rsidP="004025D1">
            <w:pPr>
              <w:jc w:val="left"/>
            </w:pPr>
            <w:r>
              <w:t>A hardware, software, or composite item at any level in the system hierarchy designated for configuration management. (The system and each of its elements are individual CIs.) CIs have four common characteristics:</w:t>
            </w:r>
          </w:p>
          <w:p w:rsidR="009A5C8F" w:rsidRDefault="009A5C8F" w:rsidP="004025D1">
            <w:pPr>
              <w:jc w:val="left"/>
            </w:pPr>
            <w:r>
              <w:t>1. Defined functionality,</w:t>
            </w:r>
          </w:p>
          <w:p w:rsidR="009A5C8F" w:rsidRDefault="009A5C8F" w:rsidP="004025D1">
            <w:pPr>
              <w:jc w:val="left"/>
            </w:pPr>
            <w:r>
              <w:t>2. Replaceable as an entity,</w:t>
            </w:r>
          </w:p>
          <w:p w:rsidR="009A5C8F" w:rsidRDefault="009A5C8F" w:rsidP="004025D1">
            <w:pPr>
              <w:jc w:val="left"/>
            </w:pPr>
            <w:r>
              <w:t>3. Unique specification,</w:t>
            </w:r>
          </w:p>
          <w:p w:rsidR="009A5C8F" w:rsidRDefault="009A5C8F" w:rsidP="004025D1">
            <w:pPr>
              <w:jc w:val="left"/>
            </w:pPr>
            <w:r>
              <w:t xml:space="preserve">4. Formal control of form, fit, and function </w:t>
            </w:r>
          </w:p>
          <w:p w:rsidR="009A5C8F" w:rsidRDefault="009A5C8F" w:rsidP="004025D1">
            <w:pPr>
              <w:jc w:val="left"/>
            </w:pPr>
          </w:p>
          <w:p w:rsidR="009A5C8F" w:rsidRDefault="009A5C8F" w:rsidP="004025D1">
            <w:pPr>
              <w:jc w:val="left"/>
            </w:pPr>
            <w:r>
              <w:t>[2] INCOSE SE Handbook</w:t>
            </w:r>
          </w:p>
        </w:tc>
        <w:tc>
          <w:tcPr>
            <w:tcW w:w="0" w:type="auto"/>
            <w:vMerge w:val="restart"/>
          </w:tcPr>
          <w:p w:rsidR="009A5C8F" w:rsidRDefault="009A5C8F" w:rsidP="004025D1">
            <w:pPr>
              <w:jc w:val="left"/>
            </w:pPr>
            <w:r>
              <w:t>CI</w:t>
            </w:r>
          </w:p>
        </w:tc>
      </w:tr>
      <w:tr w:rsidR="009A5C8F" w:rsidTr="004025D1">
        <w:trPr>
          <w:trHeight w:val="269"/>
          <w:jc w:val="center"/>
        </w:trPr>
        <w:tc>
          <w:tcPr>
            <w:tcW w:w="0" w:type="auto"/>
            <w:vMerge w:val="restart"/>
          </w:tcPr>
          <w:p w:rsidR="009A5C8F" w:rsidRDefault="009A5C8F" w:rsidP="004025D1">
            <w:pPr>
              <w:jc w:val="left"/>
            </w:pPr>
            <w:r>
              <w:t>System</w:t>
            </w:r>
          </w:p>
        </w:tc>
        <w:tc>
          <w:tcPr>
            <w:tcW w:w="0" w:type="auto"/>
            <w:vMerge w:val="restart"/>
          </w:tcPr>
          <w:p w:rsidR="009A5C8F" w:rsidRDefault="009A5C8F" w:rsidP="004025D1">
            <w:pPr>
              <w:jc w:val="left"/>
            </w:pPr>
            <w:r>
              <w:t>A combination of interacting elements organized to achieve one or more stated purposes [2}</w:t>
            </w:r>
          </w:p>
          <w:p w:rsidR="009A5C8F" w:rsidRDefault="009A5C8F" w:rsidP="004025D1">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Supplier</w:t>
            </w:r>
          </w:p>
        </w:tc>
        <w:tc>
          <w:tcPr>
            <w:tcW w:w="0" w:type="auto"/>
            <w:vMerge w:val="restart"/>
          </w:tcPr>
          <w:p w:rsidR="009A5C8F" w:rsidRDefault="009A5C8F" w:rsidP="004025D1">
            <w:pPr>
              <w:jc w:val="left"/>
            </w:pPr>
            <w:r>
              <w:t>An organization or an individual that enters into an agreement with the acquirer for the supply of a product or service.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System Element</w:t>
            </w:r>
          </w:p>
        </w:tc>
        <w:tc>
          <w:tcPr>
            <w:tcW w:w="0" w:type="auto"/>
            <w:vMerge w:val="restart"/>
          </w:tcPr>
          <w:p w:rsidR="009A5C8F" w:rsidRDefault="009A5C8F" w:rsidP="004025D1">
            <w:pPr>
              <w:jc w:val="left"/>
            </w:pPr>
            <w:r>
              <w:t>A member of a set of elements that constitutes a system a major product, service, or facility of the system (the term subsystem is sometimes used instead of element)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Systems Engineering</w:t>
            </w:r>
          </w:p>
        </w:tc>
        <w:tc>
          <w:tcPr>
            <w:tcW w:w="0" w:type="auto"/>
            <w:vMerge w:val="restart"/>
          </w:tcPr>
          <w:p w:rsidR="009A5C8F" w:rsidRDefault="009A5C8F" w:rsidP="004025D1">
            <w:pPr>
              <w:jc w:val="left"/>
            </w:pPr>
            <w:r>
              <w:t xml:space="preserve">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w:t>
            </w:r>
            <w:r>
              <w:lastRenderedPageBreak/>
              <w:t>business and the technical needs of all customers with the goal of providing a quality product that meets the user needs. [2]</w:t>
            </w:r>
          </w:p>
        </w:tc>
        <w:tc>
          <w:tcPr>
            <w:tcW w:w="0" w:type="auto"/>
            <w:vMerge w:val="restart"/>
          </w:tcPr>
          <w:p w:rsidR="009A5C8F" w:rsidRDefault="009A5C8F" w:rsidP="004025D1">
            <w:pPr>
              <w:jc w:val="left"/>
            </w:pPr>
            <w:r>
              <w:lastRenderedPageBreak/>
              <w:t>SE</w:t>
            </w:r>
          </w:p>
        </w:tc>
      </w:tr>
      <w:tr w:rsidR="009A5C8F" w:rsidTr="004025D1">
        <w:trPr>
          <w:trHeight w:val="269"/>
          <w:jc w:val="center"/>
        </w:trPr>
        <w:tc>
          <w:tcPr>
            <w:tcW w:w="0" w:type="auto"/>
            <w:vMerge w:val="restart"/>
          </w:tcPr>
          <w:p w:rsidR="009A5C8F" w:rsidRDefault="009A5C8F" w:rsidP="004025D1">
            <w:pPr>
              <w:jc w:val="left"/>
            </w:pPr>
            <w:r>
              <w:lastRenderedPageBreak/>
              <w:t>Subsystem</w:t>
            </w:r>
          </w:p>
        </w:tc>
        <w:tc>
          <w:tcPr>
            <w:tcW w:w="0" w:type="auto"/>
            <w:vMerge w:val="restart"/>
          </w:tcPr>
          <w:p w:rsidR="009A5C8F" w:rsidRDefault="009A5C8F" w:rsidP="004025D1">
            <w:pPr>
              <w:jc w:val="left"/>
            </w:pPr>
            <w:r>
              <w:t>A system element comprising an integrated set of assemblies, which performs a cleanly and clearly separated function, involving similar technical skills, or a separate supplier.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Element</w:t>
            </w:r>
          </w:p>
        </w:tc>
        <w:tc>
          <w:tcPr>
            <w:tcW w:w="0" w:type="auto"/>
            <w:vMerge w:val="restart"/>
          </w:tcPr>
          <w:p w:rsidR="009A5C8F" w:rsidRDefault="009A5C8F" w:rsidP="004025D1">
            <w:pPr>
              <w:jc w:val="left"/>
            </w:pPr>
            <w:r>
              <w:t>See System element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Design Constraints</w:t>
            </w:r>
          </w:p>
        </w:tc>
        <w:tc>
          <w:tcPr>
            <w:tcW w:w="0" w:type="auto"/>
            <w:vMerge w:val="restart"/>
          </w:tcPr>
          <w:p w:rsidR="009A5C8F" w:rsidRDefault="009A5C8F" w:rsidP="004025D1">
            <w:pPr>
              <w:jc w:val="left"/>
            </w:pPr>
            <w:r>
              <w:t>The boundary conditions, externally or internally imposed, for the system-of-interest within which the organization must remain when executing the processes during the concept and Development Stage.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Measure of Effectiveness</w:t>
            </w:r>
          </w:p>
        </w:tc>
        <w:tc>
          <w:tcPr>
            <w:tcW w:w="0" w:type="auto"/>
            <w:vMerge w:val="restart"/>
          </w:tcPr>
          <w:p w:rsidR="009A5C8F" w:rsidRDefault="009A5C8F" w:rsidP="004025D1">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9A5C8F" w:rsidRDefault="009A5C8F" w:rsidP="004025D1">
            <w:pPr>
              <w:jc w:val="left"/>
            </w:pPr>
          </w:p>
          <w:p w:rsidR="009A5C8F" w:rsidRDefault="009A5C8F" w:rsidP="004025D1">
            <w:pPr>
              <w:jc w:val="left"/>
            </w:pPr>
            <w:r>
              <w:t>A measure used to quantify the performance of a system, product or process in terms that describe a measure to what degree the real objective is achieved. [2]</w:t>
            </w:r>
          </w:p>
        </w:tc>
        <w:tc>
          <w:tcPr>
            <w:tcW w:w="0" w:type="auto"/>
            <w:vMerge w:val="restart"/>
          </w:tcPr>
          <w:p w:rsidR="009A5C8F" w:rsidRDefault="009A5C8F" w:rsidP="004025D1">
            <w:pPr>
              <w:jc w:val="left"/>
            </w:pPr>
            <w:r>
              <w:t>MOE</w:t>
            </w:r>
          </w:p>
        </w:tc>
      </w:tr>
      <w:tr w:rsidR="009A5C8F" w:rsidTr="004025D1">
        <w:trPr>
          <w:trHeight w:val="269"/>
          <w:jc w:val="center"/>
        </w:trPr>
        <w:tc>
          <w:tcPr>
            <w:tcW w:w="0" w:type="auto"/>
            <w:vMerge w:val="restart"/>
          </w:tcPr>
          <w:p w:rsidR="009A5C8F" w:rsidRDefault="009A5C8F" w:rsidP="004025D1">
            <w:pPr>
              <w:jc w:val="left"/>
            </w:pPr>
            <w:r>
              <w:t>Validation</w:t>
            </w:r>
          </w:p>
        </w:tc>
        <w:tc>
          <w:tcPr>
            <w:tcW w:w="0" w:type="auto"/>
            <w:vMerge w:val="restart"/>
          </w:tcPr>
          <w:p w:rsidR="009A5C8F" w:rsidRDefault="009A5C8F" w:rsidP="004025D1">
            <w:pPr>
              <w:jc w:val="left"/>
            </w:pPr>
            <w:r>
              <w:t>A confirmation, through the provision of objective evidence, that the requirements for a specific intended use or application have been fulfilled [ISO 9000: 2000]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Verification</w:t>
            </w:r>
          </w:p>
        </w:tc>
        <w:tc>
          <w:tcPr>
            <w:tcW w:w="0" w:type="auto"/>
            <w:vMerge w:val="restart"/>
          </w:tcPr>
          <w:p w:rsidR="009A5C8F" w:rsidRDefault="009A5C8F" w:rsidP="004025D1">
            <w:pPr>
              <w:jc w:val="left"/>
            </w:pPr>
            <w:r>
              <w:t>Confirmation, through the provision of objective evidence, that specified requirements have been fulfilled [ISO 9000: 2000]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Specialty Engineering</w:t>
            </w:r>
          </w:p>
        </w:tc>
        <w:tc>
          <w:tcPr>
            <w:tcW w:w="0" w:type="auto"/>
            <w:vMerge w:val="restart"/>
          </w:tcPr>
          <w:p w:rsidR="009A5C8F" w:rsidRDefault="009A5C8F" w:rsidP="004025D1">
            <w:pPr>
              <w:jc w:val="left"/>
            </w:pPr>
            <w:r>
              <w:t>Analysis of specific features of a system that requires special skills to identify requirements and assess their impact on the system life cycle. [2]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Interface</w:t>
            </w:r>
          </w:p>
        </w:tc>
        <w:tc>
          <w:tcPr>
            <w:tcW w:w="0" w:type="auto"/>
            <w:vMerge w:val="restart"/>
          </w:tcPr>
          <w:p w:rsidR="009A5C8F" w:rsidRDefault="009A5C8F" w:rsidP="004025D1">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Environment</w:t>
            </w:r>
          </w:p>
        </w:tc>
        <w:tc>
          <w:tcPr>
            <w:tcW w:w="0" w:type="auto"/>
            <w:vMerge w:val="restart"/>
          </w:tcPr>
          <w:p w:rsidR="009A5C8F" w:rsidRDefault="009A5C8F" w:rsidP="004025D1">
            <w:pPr>
              <w:jc w:val="left"/>
            </w:pPr>
            <w:r>
              <w:t>The surroundings (natural or man-made) in which the system-of interest is utilized and supported; or in which the system is being developed, produced and retired.[2]</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Measure of Performance</w:t>
            </w:r>
          </w:p>
        </w:tc>
        <w:tc>
          <w:tcPr>
            <w:tcW w:w="0" w:type="auto"/>
            <w:vMerge w:val="restart"/>
          </w:tcPr>
          <w:p w:rsidR="009A5C8F" w:rsidRDefault="009A5C8F" w:rsidP="004025D1">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vMerge w:val="restart"/>
          </w:tcPr>
          <w:p w:rsidR="009A5C8F" w:rsidRDefault="009A5C8F" w:rsidP="004025D1">
            <w:pPr>
              <w:jc w:val="left"/>
            </w:pPr>
            <w:r>
              <w:t>MOP</w:t>
            </w:r>
          </w:p>
        </w:tc>
      </w:tr>
      <w:tr w:rsidR="009A5C8F" w:rsidTr="004025D1">
        <w:trPr>
          <w:trHeight w:val="269"/>
          <w:jc w:val="center"/>
        </w:trPr>
        <w:tc>
          <w:tcPr>
            <w:tcW w:w="0" w:type="auto"/>
            <w:vMerge w:val="restart"/>
          </w:tcPr>
          <w:p w:rsidR="009A5C8F" w:rsidRDefault="009A5C8F" w:rsidP="004025D1">
            <w:pPr>
              <w:jc w:val="left"/>
            </w:pPr>
            <w:r>
              <w:t>Technical Measures</w:t>
            </w:r>
          </w:p>
        </w:tc>
        <w:tc>
          <w:tcPr>
            <w:tcW w:w="0" w:type="auto"/>
            <w:vMerge w:val="restart"/>
          </w:tcPr>
          <w:p w:rsidR="009A5C8F" w:rsidRDefault="009A5C8F" w:rsidP="004025D1">
            <w:pPr>
              <w:jc w:val="left"/>
            </w:pPr>
            <w:r>
              <w:t xml:space="preserve">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w:t>
            </w:r>
            <w:r>
              <w:lastRenderedPageBreak/>
              <w:t>specified requirements and the mission needs. This insight is also used in trade-off decisions when performance exceeds the threshold. [9]</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lastRenderedPageBreak/>
              <w:t>Technical Performance Measure</w:t>
            </w:r>
          </w:p>
        </w:tc>
        <w:tc>
          <w:tcPr>
            <w:tcW w:w="0" w:type="auto"/>
            <w:vMerge w:val="restart"/>
          </w:tcPr>
          <w:p w:rsidR="009A5C8F" w:rsidRDefault="009A5C8F" w:rsidP="004025D1">
            <w:pPr>
              <w:jc w:val="left"/>
            </w:pPr>
            <w:r>
              <w:t>TPMs measure attributes of a system element to determine how well a system or system element is satisfying or expected to satisfy a technical requirement or goal. [9]</w:t>
            </w:r>
          </w:p>
        </w:tc>
        <w:tc>
          <w:tcPr>
            <w:tcW w:w="0" w:type="auto"/>
            <w:vMerge w:val="restart"/>
          </w:tcPr>
          <w:p w:rsidR="009A5C8F" w:rsidRDefault="009A5C8F" w:rsidP="004025D1">
            <w:pPr>
              <w:jc w:val="left"/>
            </w:pPr>
            <w:r>
              <w:t>TPM</w:t>
            </w:r>
          </w:p>
        </w:tc>
      </w:tr>
      <w:tr w:rsidR="009A5C8F" w:rsidTr="004025D1">
        <w:trPr>
          <w:trHeight w:val="269"/>
          <w:jc w:val="center"/>
        </w:trPr>
        <w:tc>
          <w:tcPr>
            <w:tcW w:w="0" w:type="auto"/>
            <w:vMerge w:val="restart"/>
          </w:tcPr>
          <w:p w:rsidR="009A5C8F" w:rsidRDefault="009A5C8F" w:rsidP="004025D1">
            <w:pPr>
              <w:jc w:val="left"/>
            </w:pPr>
            <w:r>
              <w:t>Key Performance Parameter</w:t>
            </w:r>
          </w:p>
        </w:tc>
        <w:tc>
          <w:tcPr>
            <w:tcW w:w="0" w:type="auto"/>
            <w:vMerge w:val="restart"/>
          </w:tcPr>
          <w:p w:rsidR="009A5C8F" w:rsidRDefault="009A5C8F" w:rsidP="004025D1">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vMerge w:val="restart"/>
          </w:tcPr>
          <w:p w:rsidR="009A5C8F" w:rsidRDefault="009A5C8F" w:rsidP="004025D1">
            <w:pPr>
              <w:jc w:val="left"/>
            </w:pPr>
            <w:r>
              <w:t>KPP</w:t>
            </w:r>
          </w:p>
        </w:tc>
      </w:tr>
      <w:tr w:rsidR="009A5C8F" w:rsidTr="004025D1">
        <w:trPr>
          <w:trHeight w:val="269"/>
          <w:jc w:val="center"/>
        </w:trPr>
        <w:tc>
          <w:tcPr>
            <w:tcW w:w="0" w:type="auto"/>
            <w:vMerge w:val="restart"/>
          </w:tcPr>
          <w:p w:rsidR="009A5C8F" w:rsidRDefault="009A5C8F" w:rsidP="004025D1">
            <w:pPr>
              <w:jc w:val="left"/>
            </w:pPr>
            <w:r>
              <w:t>Model-based Systems Engineering</w:t>
            </w:r>
          </w:p>
        </w:tc>
        <w:tc>
          <w:tcPr>
            <w:tcW w:w="0" w:type="auto"/>
            <w:vMerge w:val="restart"/>
          </w:tcPr>
          <w:p w:rsidR="009A5C8F" w:rsidRDefault="009A5C8F" w:rsidP="004025D1">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9A5C8F" w:rsidRDefault="009A5C8F" w:rsidP="004025D1">
            <w:pPr>
              <w:jc w:val="left"/>
            </w:pPr>
            <w:r>
              <w:t xml:space="preserve">Ref - International Council on Systems Engineering (INCOSE), Systems Engineering Vision 2020, Version 2.03, TP-2004-004-02, September 2007. </w:t>
            </w:r>
          </w:p>
        </w:tc>
        <w:tc>
          <w:tcPr>
            <w:tcW w:w="0" w:type="auto"/>
            <w:vMerge w:val="restart"/>
          </w:tcPr>
          <w:p w:rsidR="009A5C8F" w:rsidRDefault="009A5C8F" w:rsidP="004025D1">
            <w:pPr>
              <w:jc w:val="left"/>
            </w:pPr>
            <w:r>
              <w:t>MBSE</w:t>
            </w:r>
          </w:p>
        </w:tc>
      </w:tr>
      <w:tr w:rsidR="009A5C8F" w:rsidTr="004025D1">
        <w:trPr>
          <w:trHeight w:val="269"/>
          <w:jc w:val="center"/>
        </w:trPr>
        <w:tc>
          <w:tcPr>
            <w:tcW w:w="0" w:type="auto"/>
            <w:vMerge w:val="restart"/>
          </w:tcPr>
          <w:p w:rsidR="009A5C8F" w:rsidRDefault="009A5C8F" w:rsidP="004025D1">
            <w:pPr>
              <w:jc w:val="left"/>
            </w:pPr>
            <w:r>
              <w:t>Model-based Systems Development</w:t>
            </w:r>
          </w:p>
        </w:tc>
        <w:tc>
          <w:tcPr>
            <w:tcW w:w="0" w:type="auto"/>
            <w:vMerge w:val="restart"/>
          </w:tcPr>
          <w:p w:rsidR="009A5C8F" w:rsidRDefault="009A5C8F" w:rsidP="004025D1">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vMerge w:val="restart"/>
          </w:tcPr>
          <w:p w:rsidR="009A5C8F" w:rsidRDefault="009A5C8F" w:rsidP="004025D1">
            <w:pPr>
              <w:jc w:val="left"/>
            </w:pPr>
            <w:r>
              <w:t>MBSD</w:t>
            </w:r>
          </w:p>
        </w:tc>
      </w:tr>
      <w:tr w:rsidR="009A5C8F" w:rsidTr="004025D1">
        <w:trPr>
          <w:trHeight w:val="269"/>
          <w:jc w:val="center"/>
        </w:trPr>
        <w:tc>
          <w:tcPr>
            <w:tcW w:w="0" w:type="auto"/>
            <w:vMerge w:val="restart"/>
          </w:tcPr>
          <w:p w:rsidR="009A5C8F" w:rsidRDefault="009A5C8F" w:rsidP="004025D1">
            <w:pPr>
              <w:jc w:val="left"/>
            </w:pPr>
            <w:r>
              <w:t>Product Development System</w:t>
            </w:r>
          </w:p>
        </w:tc>
        <w:tc>
          <w:tcPr>
            <w:tcW w:w="0" w:type="auto"/>
            <w:vMerge w:val="restart"/>
          </w:tcPr>
          <w:p w:rsidR="009A5C8F" w:rsidRDefault="009A5C8F" w:rsidP="004025D1">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vMerge w:val="restart"/>
          </w:tcPr>
          <w:p w:rsidR="009A5C8F" w:rsidRDefault="009A5C8F" w:rsidP="004025D1">
            <w:pPr>
              <w:jc w:val="left"/>
            </w:pPr>
            <w:r>
              <w:t>PDS</w:t>
            </w:r>
          </w:p>
        </w:tc>
      </w:tr>
      <w:tr w:rsidR="009A5C8F" w:rsidTr="004025D1">
        <w:trPr>
          <w:trHeight w:val="269"/>
          <w:jc w:val="center"/>
        </w:trPr>
        <w:tc>
          <w:tcPr>
            <w:tcW w:w="0" w:type="auto"/>
            <w:vMerge w:val="restart"/>
          </w:tcPr>
          <w:p w:rsidR="009A5C8F" w:rsidRDefault="009A5C8F" w:rsidP="004025D1">
            <w:pPr>
              <w:jc w:val="left"/>
            </w:pPr>
            <w:r>
              <w:t>System of Interest</w:t>
            </w:r>
          </w:p>
        </w:tc>
        <w:tc>
          <w:tcPr>
            <w:tcW w:w="0" w:type="auto"/>
            <w:vMerge w:val="restart"/>
          </w:tcPr>
          <w:p w:rsidR="009A5C8F" w:rsidRDefault="009A5C8F" w:rsidP="004025D1">
            <w:pPr>
              <w:jc w:val="left"/>
            </w:pPr>
            <w:r>
              <w:t>The system whose life cycle is under consideration.[2]</w:t>
            </w:r>
          </w:p>
          <w:p w:rsidR="009A5C8F" w:rsidRDefault="009A5C8F" w:rsidP="004025D1">
            <w:pPr>
              <w:jc w:val="left"/>
            </w:pPr>
          </w:p>
          <w:p w:rsidR="009A5C8F" w:rsidRDefault="009A5C8F" w:rsidP="004025D1">
            <w:pPr>
              <w:jc w:val="left"/>
            </w:pPr>
            <w:r>
              <w:t xml:space="preserve">A specific system in the context of a set of systems that is the primary focus of evaluation, analysis or development. </w:t>
            </w:r>
          </w:p>
        </w:tc>
        <w:tc>
          <w:tcPr>
            <w:tcW w:w="0" w:type="auto"/>
            <w:vMerge w:val="restart"/>
          </w:tcPr>
          <w:p w:rsidR="009A5C8F" w:rsidRDefault="009A5C8F" w:rsidP="004025D1">
            <w:pPr>
              <w:jc w:val="left"/>
            </w:pPr>
            <w:proofErr w:type="spellStart"/>
            <w:r>
              <w:t>SoI</w:t>
            </w:r>
            <w:proofErr w:type="spellEnd"/>
          </w:p>
        </w:tc>
      </w:tr>
      <w:tr w:rsidR="009A5C8F" w:rsidTr="004025D1">
        <w:trPr>
          <w:trHeight w:val="269"/>
          <w:jc w:val="center"/>
        </w:trPr>
        <w:tc>
          <w:tcPr>
            <w:tcW w:w="0" w:type="auto"/>
            <w:vMerge w:val="restart"/>
          </w:tcPr>
          <w:p w:rsidR="009A5C8F" w:rsidRDefault="009A5C8F" w:rsidP="004025D1">
            <w:pPr>
              <w:jc w:val="left"/>
            </w:pPr>
            <w:r>
              <w:t>Hazard</w:t>
            </w:r>
          </w:p>
        </w:tc>
        <w:tc>
          <w:tcPr>
            <w:tcW w:w="0" w:type="auto"/>
            <w:vMerge w:val="restart"/>
          </w:tcPr>
          <w:p w:rsidR="009A5C8F" w:rsidRDefault="009A5C8F" w:rsidP="004025D1">
            <w:pPr>
              <w:jc w:val="left"/>
            </w:pPr>
            <w:r>
              <w:t>A hazard is system state that when combined with other environmental conditions inevitably leads to an accident [7].</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Fault</w:t>
            </w:r>
          </w:p>
        </w:tc>
        <w:tc>
          <w:tcPr>
            <w:tcW w:w="0" w:type="auto"/>
            <w:vMerge w:val="restart"/>
          </w:tcPr>
          <w:p w:rsidR="009A5C8F" w:rsidRDefault="009A5C8F" w:rsidP="004025D1">
            <w:pPr>
              <w:jc w:val="left"/>
            </w:pPr>
            <w:r>
              <w:t>A safety fault is a non-conformance of a system that leads to a hazard [7].</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t>Safety Measure</w:t>
            </w:r>
          </w:p>
        </w:tc>
        <w:tc>
          <w:tcPr>
            <w:tcW w:w="0" w:type="auto"/>
            <w:vMerge w:val="restart"/>
          </w:tcPr>
          <w:p w:rsidR="009A5C8F" w:rsidRDefault="009A5C8F" w:rsidP="004025D1">
            <w:pPr>
              <w:jc w:val="left"/>
            </w:pPr>
            <w:r>
              <w:t xml:space="preserve">Safety measures are activities and precautions taken to improve safety, i.e. reduce risk related to human health [6]. </w:t>
            </w:r>
          </w:p>
          <w:p w:rsidR="009A5C8F" w:rsidRDefault="009A5C8F" w:rsidP="004025D1">
            <w:pPr>
              <w:jc w:val="left"/>
            </w:pPr>
            <w:r>
              <w:t>A safety measure could be used to detect or mitigate a fault [7].</w:t>
            </w:r>
          </w:p>
        </w:tc>
        <w:tc>
          <w:tcPr>
            <w:tcW w:w="0" w:type="auto"/>
            <w:vMerge w:val="restart"/>
          </w:tcPr>
          <w:p w:rsidR="009A5C8F" w:rsidRDefault="009A5C8F" w:rsidP="004025D1">
            <w:pPr>
              <w:jc w:val="left"/>
            </w:pPr>
          </w:p>
        </w:tc>
      </w:tr>
      <w:tr w:rsidR="009A5C8F" w:rsidTr="004025D1">
        <w:trPr>
          <w:trHeight w:val="269"/>
          <w:jc w:val="center"/>
        </w:trPr>
        <w:tc>
          <w:tcPr>
            <w:tcW w:w="0" w:type="auto"/>
            <w:vMerge w:val="restart"/>
          </w:tcPr>
          <w:p w:rsidR="009A5C8F" w:rsidRDefault="009A5C8F" w:rsidP="004025D1">
            <w:pPr>
              <w:jc w:val="left"/>
            </w:pPr>
            <w:r>
              <w:lastRenderedPageBreak/>
              <w:t>Safety Report</w:t>
            </w:r>
          </w:p>
        </w:tc>
        <w:tc>
          <w:tcPr>
            <w:tcW w:w="0" w:type="auto"/>
            <w:vMerge w:val="restart"/>
          </w:tcPr>
          <w:p w:rsidR="009A5C8F" w:rsidRDefault="009A5C8F" w:rsidP="004025D1">
            <w:pPr>
              <w:jc w:val="left"/>
            </w:pPr>
            <w:r>
              <w:t>The result of a safety analysis and evaluation.</w:t>
            </w:r>
          </w:p>
        </w:tc>
        <w:tc>
          <w:tcPr>
            <w:tcW w:w="0" w:type="auto"/>
            <w:vMerge w:val="restart"/>
          </w:tcPr>
          <w:p w:rsidR="009A5C8F" w:rsidRDefault="009A5C8F" w:rsidP="004025D1">
            <w:pPr>
              <w:jc w:val="left"/>
            </w:pPr>
          </w:p>
        </w:tc>
      </w:tr>
    </w:tbl>
    <w:p w:rsidR="009A5C8F" w:rsidRDefault="009A5C8F" w:rsidP="009A5C8F"/>
    <w:p w:rsidR="009A5C8F" w:rsidRDefault="009A5C8F" w:rsidP="009A5C8F">
      <w:pPr>
        <w:pStyle w:val="Heading1"/>
        <w:pageBreakBefore/>
        <w:numPr>
          <w:ilvl w:val="0"/>
          <w:numId w:val="6"/>
        </w:numPr>
      </w:pPr>
      <w:bookmarkStart w:id="4" w:name="_Toc6"/>
      <w:bookmarkStart w:id="5" w:name="_Toc417131232"/>
      <w:r>
        <w:lastRenderedPageBreak/>
        <w:t>Citations</w:t>
      </w:r>
      <w:bookmarkEnd w:id="4"/>
      <w:bookmarkEnd w:id="5"/>
    </w:p>
    <w:p w:rsidR="006A413B" w:rsidRPr="009A5C8F" w:rsidRDefault="009A5C8F" w:rsidP="009A5C8F">
      <w:r>
        <w:t>1.     Watson, John C. System Engineering Workflow Use Cases (Document and Rhapsody Model), September 14, 2014, Version 1.0, Lockheed Martin Corporation</w:t>
      </w:r>
      <w:r>
        <w:cr/>
        <w:t xml:space="preserve">2.     INCOSE. 2011. INCOSE Systems Engineering Handbook, Version 3.2.2. San Diego, CA, USA: International Council on Systems Engineering (INCOSE), INCOSE-TP-2003-002-03.2.2. </w:t>
      </w:r>
      <w:r>
        <w:cr/>
        <w:t xml:space="preserve">3.     </w:t>
      </w:r>
      <w:proofErr w:type="spellStart"/>
      <w:r>
        <w:t>Pyster</w:t>
      </w:r>
      <w:proofErr w:type="spellEnd"/>
      <w:r>
        <w:t xml:space="preserve">, A. and D.H. </w:t>
      </w:r>
      <w:proofErr w:type="spellStart"/>
      <w:r>
        <w:t>Olwell</w:t>
      </w:r>
      <w:proofErr w:type="spellEnd"/>
      <w:r>
        <w:t xml:space="preserve"> (</w:t>
      </w:r>
      <w:proofErr w:type="spellStart"/>
      <w:proofErr w:type="gramStart"/>
      <w:r>
        <w:t>eds</w:t>
      </w:r>
      <w:proofErr w:type="spellEnd"/>
      <w:proofErr w:type="gramEnd"/>
      <w:r>
        <w:t>). 2013. The Guide to the Systems Engineering Body of Knowledge (SEBoK), v. 1.2. Hoboken, NJ: The Trustees of the Stevens Institute of Technology. Accessed DATE. www.sebokwiki.org</w:t>
      </w:r>
      <w:r>
        <w:cr/>
        <w:t>4.     International Standard - ISO/IEC 15288 and IEEE 15288 - 2008, Second Edition 2008-02-01, Systems and software engineering - System life cycle processes</w:t>
      </w:r>
      <w:r>
        <w:cr/>
        <w:t>5.     ISO/IEC 2008. Systems and Software Engineering -- System Life Cycle Processes. Geneva, Switzerland: International Organization for Standardization / International Electromechanical Commissions. ISO/IEC/IEEE 15288:2008 (E).</w:t>
      </w:r>
      <w:r>
        <w:cr/>
        <w:t>6.    Wikipedia: Safety: Mar 31,</w:t>
      </w:r>
      <w:r w:rsidR="005C53EE">
        <w:t xml:space="preserve"> </w:t>
      </w:r>
      <w:bookmarkStart w:id="6" w:name="_GoBack"/>
      <w:bookmarkEnd w:id="6"/>
      <w:r>
        <w:t>2015:  http://en.wikipedia.org/wiki/Safety#Safety_measures</w:t>
      </w:r>
      <w:r>
        <w:cr/>
        <w:t>7.   Douglas, Bruce: Safety Analysis of UML Models</w:t>
      </w:r>
      <w:r>
        <w:cr/>
        <w:t xml:space="preserve">8.   </w:t>
      </w:r>
      <w:r>
        <w:rPr>
          <w:rFonts w:ascii="Calibri" w:hAnsi="Calibri" w:cs="Calibri"/>
          <w:color w:val="000000"/>
        </w:rPr>
        <w:t>8.   Wikipedia. Main Page. Mar 31, 2015.  http://en.</w:t>
      </w:r>
      <w:r>
        <w:rPr>
          <w:rFonts w:ascii="Calibri" w:hAnsi="Calibri" w:cs="Calibri"/>
          <w:color w:val="000000"/>
          <w:u w:val="wave"/>
        </w:rPr>
        <w:t>wikipedia</w:t>
      </w:r>
      <w:r>
        <w:rPr>
          <w:rFonts w:ascii="Calibri" w:hAnsi="Calibri" w:cs="Calibri"/>
          <w:color w:val="000000"/>
        </w:rPr>
        <w:t>.</w:t>
      </w:r>
      <w:r>
        <w:rPr>
          <w:rFonts w:ascii="Calibri" w:hAnsi="Calibri" w:cs="Calibri"/>
          <w:color w:val="000000"/>
          <w:u w:val="wave"/>
        </w:rPr>
        <w:t>org</w:t>
      </w:r>
      <w:r>
        <w:rPr>
          <w:rFonts w:ascii="Calibri" w:hAnsi="Calibri" w:cs="Calibri"/>
          <w:color w:val="000000"/>
        </w:rPr>
        <w:t>/wiki</w:t>
      </w:r>
      <w:r>
        <w:c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r w:rsidR="006A413B">
        <w:t xml:space="preserve"> </w:t>
      </w:r>
    </w:p>
    <w:sectPr w:rsidR="006A413B" w:rsidRPr="009A5C8F" w:rsidSect="00660563">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C8A" w:rsidRDefault="00A22C8A" w:rsidP="00660563">
      <w:pPr>
        <w:spacing w:after="0" w:line="240" w:lineRule="auto"/>
      </w:pPr>
      <w:r>
        <w:separator/>
      </w:r>
    </w:p>
  </w:endnote>
  <w:endnote w:type="continuationSeparator" w:id="0">
    <w:p w:rsidR="00A22C8A" w:rsidRDefault="00A22C8A"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63" w:rsidRDefault="00660563">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5C53EE">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C53EE">
      <w:rPr>
        <w:b/>
        <w:bCs/>
        <w:noProof/>
      </w:rPr>
      <w:t>9</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C8A" w:rsidRDefault="00A22C8A" w:rsidP="00660563">
      <w:pPr>
        <w:spacing w:after="0" w:line="240" w:lineRule="auto"/>
      </w:pPr>
      <w:r>
        <w:separator/>
      </w:r>
    </w:p>
  </w:footnote>
  <w:footnote w:type="continuationSeparator" w:id="0">
    <w:p w:rsidR="00A22C8A" w:rsidRDefault="00A22C8A"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9EC" w:rsidRDefault="00BC49EC">
    <w:pPr>
      <w:pStyle w:val="Header"/>
    </w:pPr>
    <w:r>
      <w:tab/>
      <w:t xml:space="preserve">Review </w:t>
    </w:r>
    <w:r w:rsidR="00DD09B3">
      <w:t xml:space="preserve">Document </w:t>
    </w:r>
    <w:r>
      <w:t xml:space="preserve">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rsidR="009A5C8F">
          <w:t>Terminology and Definitions</w:t>
        </w:r>
      </w:sdtContent>
    </w:sdt>
    <w:r>
      <w:t xml:space="preserve"> </w:t>
    </w:r>
    <w:r w:rsidR="00DD09B3">
      <w:t>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460A0"/>
    <w:multiLevelType w:val="multilevel"/>
    <w:tmpl w:val="613A6A4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E5439"/>
    <w:rsid w:val="00301DFD"/>
    <w:rsid w:val="00307A50"/>
    <w:rsid w:val="003333C4"/>
    <w:rsid w:val="004D26AD"/>
    <w:rsid w:val="00511B39"/>
    <w:rsid w:val="005B6FAE"/>
    <w:rsid w:val="005C53EE"/>
    <w:rsid w:val="00660563"/>
    <w:rsid w:val="00691AD9"/>
    <w:rsid w:val="00695209"/>
    <w:rsid w:val="00695713"/>
    <w:rsid w:val="006A413B"/>
    <w:rsid w:val="0071414A"/>
    <w:rsid w:val="008038A8"/>
    <w:rsid w:val="00817350"/>
    <w:rsid w:val="008734E4"/>
    <w:rsid w:val="009539AF"/>
    <w:rsid w:val="009727DF"/>
    <w:rsid w:val="009812B1"/>
    <w:rsid w:val="009A5C8F"/>
    <w:rsid w:val="009C3057"/>
    <w:rsid w:val="00A22C8A"/>
    <w:rsid w:val="00AC70A7"/>
    <w:rsid w:val="00AE4D6C"/>
    <w:rsid w:val="00BC49EC"/>
    <w:rsid w:val="00BF02E1"/>
    <w:rsid w:val="00C9750F"/>
    <w:rsid w:val="00DD09B3"/>
    <w:rsid w:val="00DD5AA9"/>
    <w:rsid w:val="00E47A7F"/>
    <w:rsid w:val="00E622AB"/>
    <w:rsid w:val="00E83FBB"/>
    <w:rsid w:val="00EA1F87"/>
    <w:rsid w:val="00F10F5A"/>
    <w:rsid w:val="00F16838"/>
    <w:rsid w:val="00F353A6"/>
    <w:rsid w:val="00FA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F01B9"/>
    <w:rsid w:val="00555484"/>
    <w:rsid w:val="005C1AB5"/>
    <w:rsid w:val="005E0DE9"/>
    <w:rsid w:val="007D78CB"/>
    <w:rsid w:val="00B40EE3"/>
    <w:rsid w:val="00CB6E1A"/>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6F7E4-1690-4020-9FC7-669F93841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Terminology and Definitions</dc:subject>
  <dc:creator>John Watson</dc:creator>
  <cp:lastModifiedBy>John Watson</cp:lastModifiedBy>
  <cp:revision>4</cp:revision>
  <dcterms:created xsi:type="dcterms:W3CDTF">2015-04-18T18:35:00Z</dcterms:created>
  <dcterms:modified xsi:type="dcterms:W3CDTF">2015-04-18T18:41:00Z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