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b w:val="1"/>
          <w:color w:val="164a98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72.0" w:type="dxa"/>
        <w:jc w:val="left"/>
        <w:tblLayout w:type="fixed"/>
        <w:tblLook w:val="0600"/>
      </w:tblPr>
      <w:tblGrid>
        <w:gridCol w:w="1980"/>
        <w:gridCol w:w="5792"/>
        <w:tblGridChange w:id="0">
          <w:tblGrid>
            <w:gridCol w:w="1980"/>
            <w:gridCol w:w="579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164a98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64a98"/>
                <w:sz w:val="32"/>
                <w:szCs w:val="32"/>
              </w:rPr>
              <w:drawing>
                <wp:inline distB="114300" distT="114300" distL="114300" distR="114300">
                  <wp:extent cx="876665" cy="1210179"/>
                  <wp:effectExtent b="0" l="0" r="0" t="0"/>
                  <wp:docPr id="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665" cy="1210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360" w:lineRule="auto"/>
              <w:ind w:left="135" w:firstLine="0"/>
              <w:rPr>
                <w:b w:val="1"/>
                <w:color w:val="194a98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94a98"/>
                <w:sz w:val="28"/>
                <w:szCs w:val="28"/>
                <w:rtl w:val="0"/>
              </w:rPr>
              <w:t xml:space="preserve">Universidad CENFOTEC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ind w:left="135" w:firstLine="0"/>
              <w:jc w:val="both"/>
              <w:rPr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left="135" w:firstLine="0"/>
              <w:jc w:val="both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Escuela de Sistemas Inteligentes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ind w:left="135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 del curso: SINT-732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ind w:left="135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curso: Laboratorio Ejecutivo en Claude Code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ind w:left="135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Sección: IAV4       Periodo:</w:t>
            </w:r>
            <w:r w:rsidDel="00000000" w:rsidR="00000000" w:rsidRPr="00000000">
              <w:rPr>
                <w:rtl w:val="0"/>
              </w:rPr>
              <w:t xml:space="preserve"> M6 2026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ind w:left="135" w:firstLine="0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Docente facilitador:</w:t>
            </w:r>
            <w:r w:rsidDel="00000000" w:rsidR="00000000" w:rsidRPr="00000000">
              <w:rPr>
                <w:rtl w:val="0"/>
              </w:rPr>
              <w:t xml:space="preserve"> Andrés Castro Núñez</w:t>
            </w:r>
          </w:p>
        </w:tc>
      </w:tr>
    </w:tbl>
    <w:p w:rsidR="00000000" w:rsidDel="00000000" w:rsidP="00000000" w:rsidRDefault="00000000" w:rsidRPr="00000000" w14:paraId="0000000A">
      <w:pPr>
        <w:spacing w:line="360" w:lineRule="auto"/>
        <w:ind w:left="360" w:firstLine="0"/>
        <w:jc w:val="center"/>
        <w:rPr>
          <w:b w:val="1"/>
          <w:color w:val="194a9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360" w:firstLine="0"/>
        <w:jc w:val="center"/>
        <w:rPr>
          <w:b w:val="1"/>
          <w:color w:val="194a98"/>
          <w:sz w:val="24"/>
          <w:szCs w:val="24"/>
        </w:rPr>
      </w:pPr>
      <w:r w:rsidDel="00000000" w:rsidR="00000000" w:rsidRPr="00000000">
        <w:rPr>
          <w:b w:val="1"/>
          <w:color w:val="194a98"/>
          <w:sz w:val="24"/>
          <w:szCs w:val="24"/>
          <w:rtl w:val="0"/>
        </w:rPr>
        <w:t xml:space="preserve">CONSIGNA DE </w:t>
      </w:r>
      <w:r w:rsidDel="00000000" w:rsidR="00000000" w:rsidRPr="00000000">
        <w:rPr>
          <w:b w:val="1"/>
          <w:color w:val="194a98"/>
          <w:sz w:val="24"/>
          <w:szCs w:val="24"/>
          <w:u w:val="single"/>
          <w:rtl w:val="0"/>
        </w:rPr>
        <w:t xml:space="preserve">Caso práctico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360" w:hanging="360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Datos generales de la actividad</w:t>
      </w:r>
    </w:p>
    <w:sdt>
      <w:sdtPr>
        <w:lock w:val="contentLocked"/>
        <w:tag w:val="goog_rdk_0"/>
      </w:sdtPr>
      <w:sdtContent>
        <w:tbl>
          <w:tblPr>
            <w:tblStyle w:val="Table2"/>
            <w:tblW w:w="8640.0" w:type="dxa"/>
            <w:jc w:val="left"/>
            <w:tblInd w:w="360.0" w:type="dxa"/>
            <w:tblLayout w:type="fixed"/>
            <w:tblLook w:val="0600"/>
          </w:tblPr>
          <w:tblGrid>
            <w:gridCol w:w="4885"/>
            <w:gridCol w:w="3755"/>
            <w:tblGridChange w:id="0">
              <w:tblGrid>
                <w:gridCol w:w="4885"/>
                <w:gridCol w:w="37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60.0" w:type="dxa"/>
                  <w:left w:w="60.0" w:type="dxa"/>
                  <w:bottom w:w="6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0D">
                <w:pPr>
                  <w:spacing w:line="240" w:lineRule="auto"/>
                  <w:ind w:right="40"/>
                  <w:jc w:val="both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Tipo de actividad:</w:t>
                </w:r>
                <w:r w:rsidDel="00000000" w:rsidR="00000000" w:rsidRPr="00000000">
                  <w:rPr>
                    <w:i w:val="1"/>
                    <w:sz w:val="18"/>
                    <w:szCs w:val="18"/>
                    <w:rtl w:val="0"/>
                  </w:rPr>
                  <w:t xml:space="preserve">(Resolución de problemas, estudio de caso, práctica, presentación, avance de proyecto, laboratorio, taller, infografía, portafolio, tarea, etc)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60.0" w:type="dxa"/>
                  <w:left w:w="60.0" w:type="dxa"/>
                  <w:bottom w:w="6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spacing w:line="240" w:lineRule="auto"/>
                  <w:ind w:right="4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práctico: se inicia en la sesión sincrónica y se completa en trabajo extraclase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39" w:tblpY="0"/>
        <w:tblW w:w="8415.0" w:type="dxa"/>
        <w:jc w:val="left"/>
        <w:tblLayout w:type="fixed"/>
        <w:tblLook w:val="0600"/>
      </w:tblPr>
      <w:tblGrid>
        <w:gridCol w:w="2266"/>
        <w:gridCol w:w="2607"/>
        <w:gridCol w:w="1982"/>
        <w:gridCol w:w="1560"/>
        <w:tblGridChange w:id="0">
          <w:tblGrid>
            <w:gridCol w:w="2266"/>
            <w:gridCol w:w="2607"/>
            <w:gridCol w:w="1982"/>
            <w:gridCol w:w="156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right="4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entrega: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right="4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Martes 25 de agosto de 2026, al inicio de la Sesión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right="4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porcentual: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right="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 de la nota final (Caso práctico 5 de 7)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right="4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Formato de entrega: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PDF, DOCX, ZIP, video, código, etc.)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36" w:right="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Enlace al repositorio Git con sus commits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right="4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Puntaje total: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right="4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100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right="4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Individual:</w:t>
            </w:r>
            <w:r w:rsidDel="00000000" w:rsidR="00000000" w:rsidRPr="00000000">
              <w:rPr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right="40"/>
              <w:rPr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right="4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right="4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200" w:line="360" w:lineRule="auto"/>
        <w:ind w:left="360" w:firstLine="0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360" w:lineRule="auto"/>
        <w:ind w:left="360" w:hanging="360"/>
        <w:jc w:val="both"/>
        <w:rPr>
          <w:b w:val="1"/>
          <w:color w:val="164a98"/>
          <w:sz w:val="24"/>
          <w:szCs w:val="24"/>
        </w:rPr>
      </w:pP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Instrucciones generales </w:t>
      </w:r>
      <w:r w:rsidDel="00000000" w:rsidR="00000000" w:rsidRPr="00000000">
        <w:rPr>
          <w:i w:val="1"/>
          <w:sz w:val="20"/>
          <w:szCs w:val="20"/>
          <w:rtl w:val="0"/>
        </w:rPr>
        <w:t xml:space="preserve">(estas instrucciones pueden ser adaptadas según las especificaciones del curso o de la actividad)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Lea cuidadosamente las instrucciones de la actividad, en caso de tener alguna duda puede consultar con el docente.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 actividad se desarrolla de manera individual o grupal (de acuerdo con lo especificado en los datos generales), cualquier intento de plagio será sancionado de acuerdo con el reglamento académico vigente.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 completar la actividad, debe subir la solución en la plataforma Moodle en el formato, tiempo y espacio indicado por el docente. 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b w:val="1"/>
          <w:color w:val="164a98"/>
        </w:rPr>
      </w:pP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Objetivos</w:t>
      </w:r>
      <w:r w:rsidDel="00000000" w:rsidR="00000000" w:rsidRPr="00000000">
        <w:rPr>
          <w:b w:val="1"/>
          <w:color w:val="194a98"/>
          <w:sz w:val="24"/>
          <w:szCs w:val="24"/>
          <w:rtl w:val="0"/>
        </w:rPr>
        <w:t xml:space="preserve"> o competencias del curso que se evaluarán en la actividad de aprendizaje</w:t>
      </w: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1"/>
        <w:gridCol w:w="5964"/>
        <w:tblGridChange w:id="0">
          <w:tblGrid>
            <w:gridCol w:w="3081"/>
            <w:gridCol w:w="5964"/>
          </w:tblGrid>
        </w:tblGridChange>
      </w:tblGrid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 general o competencia del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i w:val="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Implementar técnicas de desarrollo de software asistido por inteligencia artificial para la optimización y aceleración del ciclo de vida del código, construyendo soluciones de software modulares, pruebas de calidad e integraciones mediante el uso de asistentes inteligentes de programación y agentes autónomos, de manera responsable.</w:t>
            </w:r>
          </w:p>
        </w:tc>
      </w:tr>
      <w:tr>
        <w:trPr>
          <w:cantSplit w:val="0"/>
          <w:tblHeader w:val="0"/>
        </w:trPr>
        <w:tc>
          <w:tcPr>
            <w:shd w:fill="9cc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Objetivos específicos o resultados de aprendizaje que se evalúan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i w:val="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Aplica técnicas de refactorización inteligente, automatización del ciclo de desarrollo con CI/CD, pruebas de calidad y orquestación de agentes de desarrollo autónomos.</w:t>
            </w:r>
          </w:p>
        </w:tc>
      </w:tr>
    </w:tbl>
    <w:p w:rsidR="00000000" w:rsidDel="00000000" w:rsidP="00000000" w:rsidRDefault="00000000" w:rsidRPr="00000000" w14:paraId="00000036">
      <w:pPr>
        <w:spacing w:before="200" w:line="360" w:lineRule="auto"/>
        <w:rPr>
          <w:b w:val="1"/>
          <w:color w:val="164a98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194a98"/>
          <w:rtl w:val="0"/>
        </w:rPr>
        <w:t xml:space="preserve">4. </w:t>
      </w: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Descripción de la actividad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Contexto: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>
        <w:rPr>
          <w:sz w:val="20"/>
          <w:szCs w:val="20"/>
        </w:rPr>
        <w:t xml:space="preserve">Cancha Total F5 alquila dos canchas techadas de fútbol 5. Hace un año, un proveedor le construyó a la administradora un sistema de reservas; el proveedor ya no contesta y no dejó un solo documento. El sistema se usa todos los días y «funciona» — pero hay quejas sueltas por cobros y por cancelaciones, y nadie sabe decir si son errores o si el sistema es así a propósito:</w:t>
      </w:r>
    </w:p>
    <w:p>
      <w:pPr>
        <w:spacing w:before="60" w:after="60" w:line="360" w:lineRule="auto"/>
        <w:ind w:left="567" w:right="567"/>
        <w:pBdr>
          <w:left w:val="single" w:sz="18" w:space="12" w:color="164a98"/>
        </w:pBdr>
        <w:jc w:val="both"/>
      </w:pPr>
      <w:r>
        <w:rPr>
          <w:i w:val="1"/>
          <w:sz w:val="20"/>
          <w:szCs w:val="20"/>
        </w:rPr>
        <w:t xml:space="preserve">«Antes de pedirle cambios a alguien, quiero saber en qué estamos parados: qué hace bien, qué hace mal, y que quede por escrito. No quiero que me lo arreglen a ciegas.»</w:t>
      </w:r>
    </w:p>
    <w:p>
      <w:pPr>
        <w:spacing w:before="140" w:line="360" w:lineRule="auto"/>
        <w:jc w:val="both"/>
      </w:pPr>
      <w:r>
        <w:rPr>
          <w:sz w:val="20"/>
          <w:szCs w:val="20"/>
        </w:rPr>
        <w:t xml:space="preserve">El trabajo de este caso es ese encargo: ponerle al sistema la red que diga qué cumple y qué no, dejar por escrito lo que se descubra, y recién entonces —con la red puesta— mejorar el código sin cambiar lo que ya hace bien.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Cómo debería funcionar, según la administradora</w:t>
      </w:r>
    </w:p>
    <w:p>
      <w:pPr>
        <w:spacing w:before="0" w:line="360" w:lineRule="auto"/>
        <w:jc w:val="both"/>
      </w:pPr>
      <w:r>
        <w:rPr>
          <w:sz w:val="20"/>
          <w:szCs w:val="20"/>
        </w:rPr>
        <w:t xml:space="preserve">Esta descripción es el comportamiento esperado del negocio. Nadie ha verificado que el sistema entregado la cumpla — averiguarlo es parte del caso.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Se alquila por bloques de una hora, todos los días: el primer partido empieza a las 8:00 y el último a las 21:00, en cualquiera de las dos canchas.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Una reserva lleva cancha, fecha, hora, nombre y teléfono. El teléfono es obligatorio y son 8 dígitos: es la forma de ubicar al cliente y de reconocerlo como frecuente.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Un bloque ocupado no se vuelve a vender. Si alguien cancela a tiempo, ese espacio queda libre otra vez.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hora diurna cuesta ₡15.000. Desde que se enciende la luz cuesta ₡20.000 — y la luz se enciende a las 5 de la tarde: el partido de las 5 ya va con luz.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El cliente frecuente —cuatro o más reservas en el mismo mes, contando la que está haciendo— recibe 10% de descuento. Las canceladas no cuentan: frecuente es el que juega, no el que aparta.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Se puede cancelar hasta 24 horas antes de la hora del partido. Con menos de 24 horas no hay cancelación y se cobra completo: si el partido es mañana a las 8 de la mañana y ya son las 11 de la noche, no hay marcha atrás.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Para cada día se ve qué bloques están libres en cada cancha, y la lista de reservas del día con lo que se cobró en cada una.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Alcance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palabra de la administradora es la especificación. En lo que ella no menciona, el comportamiento actual del sistema se considera correcto.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No se agregan funciones nuevas ni se cambia el stack: el encargo es la red, los hallazgos y la mejora de lo que existe.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base de datos ya usa SQLite y así se queda.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Herramientas</w:t>
      </w:r>
    </w:p>
    <w:p>
      <w:pPr>
        <w:spacing w:before="0" w:line="360" w:lineRule="auto"/>
        <w:jc w:val="both"/>
      </w:pPr>
      <w:r>
        <w:rPr>
          <w:sz w:val="20"/>
          <w:szCs w:val="20"/>
        </w:rPr>
        <w:t xml:space="preserve">El trabajo requiere el repositorio del sistema, que se descarga de Moodle, y una habilidad instalada antes de la sesión: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b w:val="1"/>
          <w:sz w:val="20"/>
          <w:szCs w:val="20"/>
        </w:rPr>
        <w:t xml:space="preserve">La habilidad escribir-pruebas, </w:t>
      </w:r>
      <w:r>
        <w:rPr>
          <w:sz w:val="20"/>
          <w:szCs w:val="20"/>
        </w:rPr>
        <w:t xml:space="preserve">que se entrega como archivo aparte. Las instrucciones de instalación están en la guía del participante.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Trabajo solicitado</w:t>
      </w:r>
    </w:p>
    <w:p>
      <w:pPr>
        <w:spacing w:before="0" w:line="360" w:lineRule="auto"/>
        <w:jc w:val="both"/>
      </w:pPr>
      <w:r>
        <w:rPr>
          <w:sz w:val="20"/>
          <w:szCs w:val="20"/>
        </w:rPr>
        <w:t xml:space="preserve">Ponerle la red de seguridad al sistema recibido, dejar por escrito lo que no cumple, y refactorizar con la red puesta.</w:t>
      </w:r>
    </w:p>
    <w:p>
      <w:pPr>
        <w:numPr>
          <w:ilvl w:val="0"/>
          <w:numId w:val="5"/>
        </w:numPr>
        <w:spacing w:before="120" w:line="360" w:lineRule="auto"/>
        <w:ind w:left="720" w:hanging="360"/>
        <w:jc w:val="both"/>
      </w:pPr>
      <w:r>
        <w:rPr>
          <w:b w:val="1"/>
          <w:sz w:val="20"/>
          <w:szCs w:val="20"/>
        </w:rPr>
        <w:t xml:space="preserve">Reconstruir la especificación. </w:t>
      </w:r>
      <w:r>
        <w:rPr>
          <w:sz w:val="20"/>
          <w:szCs w:val="20"/>
        </w:rPr>
        <w:t xml:space="preserve">El repositorio no trae documentos: la habilidad escribir-pruebas extrae del código el comportamiento observable y pregunta, punto por punto, qué debería pasar. Se contesta con la descripción de la administradora; donde ella no dice nada, con el comportamiento actual del sistema. Cada afirmación queda con su fuente declarada, y donde las dos hablan del mismo punto, la especificación dice cuál quedó. Desde ahí, ese documento es la fuente de verdad.</w:t>
      </w:r>
    </w:p>
    <w:p>
      <w:pPr>
        <w:numPr>
          <w:ilvl w:val="0"/>
          <w:numId w:val="5"/>
        </w:numPr>
        <w:spacing w:before="120" w:line="360" w:lineRule="auto"/>
        <w:ind w:left="720" w:hanging="360"/>
        <w:jc w:val="both"/>
      </w:pPr>
      <w:r>
        <w:rPr>
          <w:b w:val="1"/>
          <w:sz w:val="20"/>
          <w:szCs w:val="20"/>
        </w:rPr>
        <w:t xml:space="preserve">Escribir la suite y ver qué descubre. </w:t>
      </w:r>
      <w:r>
        <w:rPr>
          <w:sz w:val="20"/>
          <w:szCs w:val="20"/>
        </w:rPr>
        <w:t xml:space="preserve">Cada prueba sale de una condición de la especificación, con su nivel declarado, y el valor esperado nunca se deriva de lo que el código devuelve. Lo que falle no se arregla ni se ablanda: queda en HALLAZGOS.md, con su prueba marcada como fallo esperado.</w:t>
      </w:r>
    </w:p>
    <w:p>
      <w:pPr>
        <w:numPr>
          <w:ilvl w:val="0"/>
          <w:numId w:val="5"/>
        </w:numPr>
        <w:spacing w:before="120" w:line="360" w:lineRule="auto"/>
        <w:ind w:left="720" w:hanging="360"/>
        <w:jc w:val="both"/>
      </w:pPr>
      <w:r>
        <w:rPr>
          <w:b w:val="1"/>
          <w:sz w:val="20"/>
          <w:szCs w:val="20"/>
        </w:rPr>
        <w:t xml:space="preserve">Armar la puerta. </w:t>
      </w:r>
      <w:r>
        <w:rPr>
          <w:sz w:val="20"/>
          <w:szCs w:val="20"/>
        </w:rPr>
        <w:t xml:space="preserve">verificar.sh en la raíz corre la suite y termina en 0 o en 2, y el hook Stop en .claude/settings.json impide que un turno del agente cierre con la verificación en rojo.</w:t>
      </w:r>
    </w:p>
    <w:p>
      <w:pPr>
        <w:numPr>
          <w:ilvl w:val="0"/>
          <w:numId w:val="5"/>
        </w:numPr>
        <w:spacing w:before="120" w:line="360" w:lineRule="auto"/>
        <w:ind w:left="720" w:hanging="360"/>
        <w:jc w:val="both"/>
      </w:pPr>
      <w:r>
        <w:rPr>
          <w:b w:val="1"/>
          <w:sz w:val="20"/>
          <w:szCs w:val="20"/>
        </w:rPr>
        <w:t xml:space="preserve">Refactorizar con la red puesta. </w:t>
      </w:r>
      <w:r>
        <w:rPr>
          <w:sz w:val="20"/>
          <w:szCs w:val="20"/>
        </w:rPr>
        <w:t xml:space="preserve">Cerrar al menos un hallazgo de comportamiento haciendo pasar su prueba sin tocarla, y pagar al menos una deuda de estructura que esté en el camino de ese arreglo. Estructura y comportamiento van en commits separados; en un commit de estructura, la suite da lo mismo antes y después.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Entregables</w:t>
      </w:r>
    </w:p>
    <w:p>
      <w:pPr>
        <w:spacing w:before="0" w:line="360" w:lineRule="auto"/>
        <w:jc w:val="both"/>
      </w:pPr>
      <w:r>
        <w:rPr>
          <w:sz w:val="20"/>
          <w:szCs w:val="20"/>
        </w:rPr>
        <w:t xml:space="preserve">En el repositorio recibido, con los commits propios encima del commit del proveedor:</w:t>
      </w:r>
    </w:p>
    <w:p>
      <w:pPr>
        <w:numPr>
          <w:ilvl w:val="0"/>
          <w:numId w:val="6"/>
        </w:numPr>
        <w:spacing w:before="120" w:line="360" w:lineRule="auto"/>
        <w:ind w:left="720" w:hanging="360"/>
        <w:jc w:val="both"/>
      </w:pPr>
      <w:r>
        <w:rPr>
          <w:rFonts w:ascii="Consolas" w:hAnsi="Consolas" w:cs="Consolas"/>
          <w:b w:val="1"/>
          <w:sz w:val="19"/>
          <w:szCs w:val="19"/>
        </w:rPr>
        <w:t xml:space="preserve">ESPECIFICACION.md</w:t>
      </w:r>
      <w:r>
        <w:rPr>
          <w:sz w:val="20"/>
          <w:szCs w:val="20"/>
        </w:rPr>
        <w:t xml:space="preserve"> — La especificación reconstruida: cada regla que la administradora describió y el comportamiento que ella no mencionó, cada afirmación con su fuente declarada.</w:t>
      </w:r>
    </w:p>
    <w:p>
      <w:pPr>
        <w:numPr>
          <w:ilvl w:val="0"/>
          <w:numId w:val="6"/>
        </w:numPr>
        <w:spacing w:before="120" w:line="360" w:lineRule="auto"/>
        <w:ind w:left="720" w:hanging="360"/>
        <w:jc w:val="both"/>
      </w:pPr>
      <w:r>
        <w:rPr>
          <w:rFonts w:ascii="Consolas" w:hAnsi="Consolas" w:cs="Consolas"/>
          <w:b w:val="1"/>
          <w:sz w:val="19"/>
          <w:szCs w:val="19"/>
        </w:rPr>
        <w:t xml:space="preserve">Suite de pruebas</w:t>
      </w:r>
      <w:r>
        <w:rPr>
          <w:sz w:val="20"/>
          <w:szCs w:val="20"/>
        </w:rPr>
        <w:t xml:space="preserve"> — Las pruebas con su nivel declarado, y verificar.sh en la raíz como puerta de un solo comando.</w:t>
      </w:r>
    </w:p>
    <w:p>
      <w:pPr>
        <w:numPr>
          <w:ilvl w:val="0"/>
          <w:numId w:val="6"/>
        </w:numPr>
        <w:spacing w:before="120" w:line="360" w:lineRule="auto"/>
        <w:ind w:left="720" w:hanging="360"/>
        <w:jc w:val="both"/>
      </w:pPr>
      <w:r>
        <w:rPr>
          <w:rFonts w:ascii="Consolas" w:hAnsi="Consolas" w:cs="Consolas"/>
          <w:b w:val="1"/>
          <w:sz w:val="19"/>
          <w:szCs w:val="19"/>
        </w:rPr>
        <w:t xml:space="preserve">HALLAZGOS.md</w:t>
      </w:r>
      <w:r>
        <w:rPr>
          <w:sz w:val="20"/>
          <w:szCs w:val="20"/>
        </w:rPr>
        <w:t xml:space="preserve"> — Todo lo descubierto, con su clase (comportamiento o estructura), la prueba que lo delata, y la evidencia de cierre en los corregidos.</w:t>
      </w:r>
    </w:p>
    <w:p>
      <w:pPr>
        <w:numPr>
          <w:ilvl w:val="0"/>
          <w:numId w:val="6"/>
        </w:numPr>
        <w:spacing w:before="120" w:line="360" w:lineRule="auto"/>
        <w:ind w:left="720" w:hanging="360"/>
        <w:jc w:val="both"/>
      </w:pPr>
      <w:r>
        <w:rPr>
          <w:rFonts w:ascii="Consolas" w:hAnsi="Consolas" w:cs="Consolas"/>
          <w:b w:val="1"/>
          <w:sz w:val="19"/>
          <w:szCs w:val="19"/>
        </w:rPr>
        <w:t xml:space="preserve">.claude/settings.json</w:t>
      </w:r>
      <w:r>
        <w:rPr>
          <w:sz w:val="20"/>
          <w:szCs w:val="20"/>
        </w:rPr>
        <w:t xml:space="preserve"> — El hook Stop que conecta verificar.sh al cierre de turno.</w:t>
      </w:r>
    </w:p>
    <w:p>
      <w:pPr>
        <w:numPr>
          <w:ilvl w:val="0"/>
          <w:numId w:val="6"/>
        </w:numPr>
        <w:spacing w:before="120" w:line="360" w:lineRule="auto"/>
        <w:ind w:left="720" w:hanging="360"/>
        <w:jc w:val="both"/>
      </w:pPr>
      <w:r>
        <w:rPr>
          <w:rFonts w:ascii="Consolas" w:hAnsi="Consolas" w:cs="Consolas"/>
          <w:b w:val="1"/>
          <w:sz w:val="19"/>
          <w:szCs w:val="19"/>
        </w:rPr>
        <w:t xml:space="preserve">Código</w:t>
      </w:r>
      <w:r>
        <w:rPr>
          <w:sz w:val="20"/>
          <w:szCs w:val="20"/>
        </w:rPr>
        <w:t xml:space="preserve"> — El sistema con los hallazgos cerrados y la deuda pagada, sin funciones nuevas.</w:t>
      </w:r>
    </w:p>
    <w:p>
      <w:pPr>
        <w:numPr>
          <w:ilvl w:val="0"/>
          <w:numId w:val="6"/>
        </w:numPr>
        <w:spacing w:before="120" w:line="360" w:lineRule="auto"/>
        <w:ind w:left="720" w:hanging="360"/>
        <w:jc w:val="both"/>
      </w:pPr>
      <w:r>
        <w:rPr>
          <w:rFonts w:ascii="Consolas" w:hAnsi="Consolas" w:cs="Consolas"/>
          <w:b w:val="1"/>
          <w:sz w:val="19"/>
          <w:szCs w:val="19"/>
        </w:rPr>
        <w:t xml:space="preserve">README.md</w:t>
      </w:r>
      <w:r>
        <w:rPr>
          <w:sz w:val="20"/>
          <w:szCs w:val="20"/>
        </w:rPr>
        <w:t xml:space="preserve"> — Actualizado: cómo arrancar, cómo recrear los datos de prueba y cómo correr la verificación.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Condiciones de entrega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El trabajo se inicia en la sesión sincrónica y se completa fuera de ella.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Se entrega el enlace al repositorio Git, con el commit del proveedor y todos los commits propios.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El commit que agrega la suite y verificar.sh precede a todos los commits de refactorización.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Ningún commit mezcla cambios de estructura con cambios de comportamiento.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Al menos un hallazgo de comportamiento quedó cerrado: su prueba pasa, y la prueba no fue modificada para lograrlo. Los demás quedan anotados y marcados, no corregidos.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verificar.sh termina en 0 al entregar; los hallazgos que queden abiertos están marcados como fallo esperado, con su número.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aplicación sigue arrancando según el README.md.</w:t>
      </w:r>
    </w:p>
    <w:p>
      <w:pPr>
        <w:spacing w:before="160" w:line="360" w:lineRule="auto"/>
        <w:jc w:val="both"/>
      </w:pPr>
      <w:r>
        <w:rPr>
          <w:sz w:val="20"/>
          <w:szCs w:val="20"/>
        </w:rPr>
        <w:t xml:space="preserve">Lo que se evalúa es el proceso completo y sus artefactos —la especificación reconstruida con su fuente, la suite trazable a ella, los hallazgos anotados y la refactorización con la red puesta—, no la cantidad de hallazgos encontrados. Una lectura del negocio distinta de la de otro grupo, declarada y sostenida por sus pruebas, es una entrega válida.</w:t>
      </w:r>
    </w:p>
    <w:p>
      <w:pPr>
        <w:spacing w:before="280" w:after="60" w:line="360" w:lineRule="auto"/>
        <w:jc w:val="both"/>
      </w:pPr>
      <w:r>
        <w:rPr>
          <w:b w:val="1"/>
          <w:color w:val="164a98"/>
          <w:sz w:val="24"/>
          <w:szCs w:val="24"/>
        </w:rPr>
        <w:t xml:space="preserve">Contenidos de referencia</w:t>
      </w:r>
    </w:p>
    <w:p>
      <w:pPr>
        <w:spacing w:before="0" w:line="360" w:lineRule="auto"/>
        <w:jc w:val="both"/>
      </w:pPr>
      <w:r>
        <w:rPr>
          <w:sz w:val="20"/>
          <w:szCs w:val="20"/>
        </w:rPr>
        <w:t xml:space="preserve">Lo trabajado en la Sesión 5 aplica directamente a este caso: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prueba responde a la especificación, nunca al código: el valor esperado no sale de correr la función.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señal de la suite: romper el código a propósito y ver la prueba fallar.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El nivel se deriva: integración para los recorridos del negocio, unidad donde hay lógica propia.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Una prueba en rojo sobre código existente es un hallazgo, no un defecto de la prueba.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Refactorización: estructura y comportamiento en turnos y commits distintos, y el punto de retorno es git.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deuda que se paga ahora es la que está en el camino del próximo cambio; lo demás se anota.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La puerta de calidad: un comando con código de salida, la cobertura como diagnóstico, y el hook Stop con sus límites.</w:t>
      </w:r>
    </w:p>
    <w:p>
      <w:pPr>
        <w:numPr>
          <w:ilvl w:val="0"/>
          <w:numId w:val="4"/>
        </w:numPr>
        <w:spacing w:line="360" w:lineRule="auto"/>
        <w:ind w:left="720" w:hanging="360"/>
        <w:jc w:val="both"/>
      </w:pPr>
      <w:r>
        <w:rPr>
          <w:sz w:val="20"/>
          <w:szCs w:val="20"/>
        </w:rPr>
        <w:t xml:space="preserve">Revisar un documento generado (Sesión 3): vocabulario que se corrió, alcance que creció, y cada afirmación con una sola lectura posible.</w:t>
      </w:r>
    </w:p>
    <w:p>
      <w:pPr>
        <w:spacing w:line="240" w:lineRule="auto"/>
      </w:pPr>
      <w:r>
        <w:rPr>
          <w:sz w:val="12"/>
          <w:szCs w:val="12"/>
        </w:rPr>
        <w:t xml:space="preserve"> </w:t>
      </w:r>
    </w:p>
    <w:p>
      <w:pPr>
        <w:spacing w:line="360" w:lineRule="auto"/>
        <w:jc w:val="both"/>
      </w:pPr>
      <w:r>
        <w:rPr>
          <w:sz w:val="20"/>
          <w:szCs w:val="20"/>
        </w:rPr>
        <w:t xml:space="preserve"> 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="360" w:lineRule="auto"/>
        <w:rPr>
          <w:sz w:val="24"/>
          <w:szCs w:val="24"/>
        </w:rPr>
      </w:pPr>
      <w:r w:rsidDel="00000000" w:rsidR="00000000" w:rsidRPr="00000000">
        <w:rPr>
          <w:b w:val="1"/>
          <w:color w:val="194a98"/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color w:val="164a98"/>
          <w:sz w:val="24"/>
          <w:szCs w:val="24"/>
          <w:rtl w:val="0"/>
        </w:rPr>
        <w:t xml:space="preserve">Rúbrica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  <w:t xml:space="preserve">Esta actividad de aprendizaje será evaluada mediante la siguiente rúbrica: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i w:val="1"/>
          <w:sz w:val="20"/>
          <w:szCs w:val="20"/>
        </w:rPr>
      </w:pPr>
      <w:r>
        <w:rPr>
          <w:sz w:val="20"/>
          <w:szCs w:val="20"/>
        </w:rPr>
        <w:t xml:space="preserve">A continuación se presenta la rúbrica oficial de Casos prácticos definida en el programa del curso.</w:t>
      </w:r>
    </w:p>
    <w:p w:rsidR="00000000" w:rsidDel="00000000" w:rsidP="00000000" w:rsidRDefault="00000000" w:rsidRPr="00000000" w14:paraId="00000043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spacing w:before="200" w:line="360" w:lineRule="auto"/>
        <w:jc w:val="both"/>
      </w:pPr>
      <w:r>
        <w:rPr>
          <w:b w:val="1"/>
          <w:color w:val="164a98"/>
          <w:sz w:val="20"/>
          <w:szCs w:val="20"/>
        </w:rPr>
        <w:t xml:space="preserve">1. Comprensión del enunciado y requerimientos técnicos del caso</w:t>
      </w:r>
    </w:p>
    <w:tbl>
      <w:tblPr>
        <w:tblW w:w="90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 w:val="0"/>
        </w:trPr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2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3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4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5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6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7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8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9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10</w:t>
            </w:r>
          </w:p>
        </w:tc>
      </w:tr>
      <w:tr>
        <w:trPr>
          <w:cantSplit w:val="0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>
      <w:pPr>
        <w:spacing w:before="200" w:line="360" w:lineRule="auto"/>
        <w:jc w:val="both"/>
      </w:pPr>
      <w:r>
        <w:rPr>
          <w:b w:val="1"/>
          <w:color w:val="164a98"/>
          <w:sz w:val="20"/>
          <w:szCs w:val="20"/>
        </w:rPr>
        <w:t xml:space="preserve">2. Aplicación de conceptos, comandos y herramientas de Claude Code</w:t>
      </w:r>
    </w:p>
    <w:tbl>
      <w:tblPr>
        <w:tblW w:w="90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 w:val="0"/>
        </w:trPr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2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3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4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5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6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7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8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9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10</w:t>
            </w:r>
          </w:p>
        </w:tc>
      </w:tr>
      <w:tr>
        <w:trPr>
          <w:cantSplit w:val="0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>
      <w:pPr>
        <w:spacing w:before="200" w:line="360" w:lineRule="auto"/>
        <w:jc w:val="both"/>
      </w:pPr>
      <w:r>
        <w:rPr>
          <w:b w:val="1"/>
          <w:color w:val="164a98"/>
          <w:sz w:val="20"/>
          <w:szCs w:val="20"/>
        </w:rPr>
        <w:t xml:space="preserve">3. Implementación y resolución técnica del escenario propuesto</w:t>
      </w:r>
    </w:p>
    <w:tbl>
      <w:tblPr>
        <w:tblW w:w="90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 w:val="0"/>
        </w:trPr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2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3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4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5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6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7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8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9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10</w:t>
            </w:r>
          </w:p>
        </w:tc>
      </w:tr>
      <w:tr>
        <w:trPr>
          <w:cantSplit w:val="0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>
      <w:pPr>
        <w:spacing w:before="200" w:line="360" w:lineRule="auto"/>
        <w:jc w:val="both"/>
      </w:pPr>
      <w:r>
        <w:rPr>
          <w:b w:val="1"/>
          <w:color w:val="164a98"/>
          <w:sz w:val="20"/>
          <w:szCs w:val="20"/>
        </w:rPr>
        <w:t xml:space="preserve">4. Documentación técnica de la solución</w:t>
      </w:r>
    </w:p>
    <w:tbl>
      <w:tblPr>
        <w:tblW w:w="90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 w:val="0"/>
        </w:trPr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2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3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4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5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6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7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8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9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10</w:t>
            </w:r>
          </w:p>
        </w:tc>
      </w:tr>
      <w:tr>
        <w:trPr>
          <w:cantSplit w:val="0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>
      <w:pPr>
        <w:spacing w:before="200" w:line="360" w:lineRule="auto"/>
        <w:jc w:val="both"/>
      </w:pPr>
      <w:r>
        <w:rPr>
          <w:b w:val="1"/>
          <w:color w:val="164a98"/>
          <w:sz w:val="20"/>
          <w:szCs w:val="20"/>
        </w:rPr>
        <w:t xml:space="preserve">5. Entrega de la solución</w:t>
      </w:r>
    </w:p>
    <w:tbl>
      <w:tblPr>
        <w:tblW w:w="90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 w:val="0"/>
        </w:trPr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2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3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4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5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6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7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8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9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10</w:t>
            </w:r>
          </w:p>
        </w:tc>
      </w:tr>
      <w:tr>
        <w:trPr>
          <w:cantSplit w:val="0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>
      <w:pPr>
        <w:spacing w:before="200" w:line="360" w:lineRule="auto"/>
        <w:jc w:val="both"/>
      </w:pPr>
      <w:r>
        <w:rPr>
          <w:b w:val="1"/>
          <w:color w:val="164a98"/>
          <w:sz w:val="20"/>
          <w:szCs w:val="20"/>
        </w:rPr>
        <w:t xml:space="preserve">6. Acatamiento de retroalimentación</w:t>
      </w:r>
    </w:p>
    <w:tbl>
      <w:tblPr>
        <w:tblW w:w="90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 w:val="0"/>
        </w:trPr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2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3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4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5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6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7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8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9</w:t>
            </w:r>
          </w:p>
        </w:tc>
        <w:tc>
          <w:tcPr>
            <w:shd w:fill="9cc8ff" w:val="clear"/>
            <w:vAlign w:val="center"/>
          </w:tcPr>
          <w:p>
            <w:pPr>
              <w:jc w:val="center"/>
            </w:pPr>
            <w:r>
              <w:rPr>
                <w:b w:val="1"/>
                <w:sz w:val="18"/>
                <w:szCs w:val="18"/>
              </w:rPr>
              <w:t>10</w:t>
            </w:r>
          </w:p>
        </w:tc>
      </w:tr>
      <w:tr>
        <w:trPr>
          <w:cantSplit w:val="0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gridSpan w:val="4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>
      <w:pPr>
        <w:spacing w:before="240" w:line="360" w:lineRule="auto"/>
        <w:jc w:val="both"/>
      </w:pPr>
      <w:r>
        <w:rPr>
          <w:b w:val="1"/>
          <w:sz w:val="20"/>
          <w:szCs w:val="20"/>
        </w:rPr>
        <w:t xml:space="preserve">Cálculo del puntaje final: </w:t>
      </w:r>
      <w:r>
        <w:rPr>
          <w:sz w:val="20"/>
          <w:szCs w:val="20"/>
        </w:rPr>
        <w:t xml:space="preserve">cada criterio se califica de 1 a 10 según las bandas anteriores. El puntaje final sobre 100 se obtiene sumando la nota de los 6 criterios y aplicando la fórmula: Puntaje = (suma de las 6 notas ÷ 60) × 100.</w:t>
      </w:r>
    </w:p>
    <w:p w:rsidR="00000000" w:rsidDel="00000000" w:rsidP="00000000" w:rsidRDefault="00000000" w:rsidRPr="00000000" w14:paraId="00000076">
      <w:pPr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line="240" w:lineRule="auto"/>
      <w:ind w:right="97"/>
      <w:jc w:val="both"/>
      <w:rPr>
        <w:b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-1228722</wp:posOffset>
          </wp:positionH>
          <wp:positionV relativeFrom="paragraph">
            <wp:posOffset>0</wp:posOffset>
          </wp:positionV>
          <wp:extent cx="2576513" cy="5597965"/>
          <wp:effectExtent b="0" l="0" r="0" t="0"/>
          <wp:wrapNone/>
          <wp:docPr descr="Imagen que contiene Diagrama&#10;&#10;Descripción generada automáticamente" id="21" name="image1.png"/>
          <a:graphic>
            <a:graphicData uri="http://schemas.openxmlformats.org/drawingml/2006/picture">
              <pic:pic>
                <pic:nvPicPr>
                  <pic:cNvPr descr="Imagen que contiene Diagrama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b="0" l="0" r="0" t="0"/>
              <wp:wrapTopAndBottom distB="114300" distT="114300"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3500" y="3622650"/>
                        <a:ext cx="7785000" cy="31470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b="0" l="0" r="0" t="0"/>
              <wp:wrapTopAndBottom distB="114300" distT="114300"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6214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9">
    <w:pPr>
      <w:spacing w:line="36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-49043</wp:posOffset>
          </wp:positionH>
          <wp:positionV relativeFrom="page">
            <wp:posOffset>0</wp:posOffset>
          </wp:positionV>
          <wp:extent cx="7653734" cy="966788"/>
          <wp:effectExtent b="0" l="0" r="0" t="0"/>
          <wp:wrapNone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3734" cy="966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47388E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7388E"/>
  </w:style>
  <w:style w:type="paragraph" w:styleId="Piedepgina">
    <w:name w:val="footer"/>
    <w:basedOn w:val="Normal"/>
    <w:link w:val="PiedepginaCar"/>
    <w:uiPriority w:val="99"/>
    <w:unhideWhenUsed w:val="1"/>
    <w:rsid w:val="0047388E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7388E"/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pPr>
      <w:spacing w:line="240" w:lineRule="auto"/>
    </w:pPr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87zTljjDlqetonO2NA7DBumVA==">CgMxLjAaHwoBMBIaChgICVIUChJ0YWJsZS5hZGF4NWViNWt5Y3oyDmguNWFrZnZ5bmo0ZGh2OAByITFSZThXVFVlQnBFZ3dwb0t0dHgxWVNWWWlNamNqS2VKWQ==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2024-07-17T17:51:00Z</dcterms:created>
</cp:coreProperties>
</file>