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40"/>
          <w:szCs w:val="40"/>
        </w:rPr>
        <w:t xml:space="preserve">AI-Powered Earnings &amp; Sentiment Analyzer</w:t>
      </w:r>
    </w:p>
    <w:p>
      <w:pPr>
        <w:spacing w:after="200"/>
      </w:pPr>
      <w:r>
        <w:rPr>
          <w:b/>
          <w:bCs/>
          <w:sz w:val="28"/>
          <w:szCs w:val="28"/>
        </w:rPr>
        <w:t xml:space="preserve">Project Guide: The Problem and the Approach</w:t>
      </w:r>
    </w:p>
    <w:p>
      <w:pPr>
        <w:spacing w:after="360"/>
      </w:pPr>
      <w:r>
        <w:rPr>
          <w:i/>
          <w:iCs/>
          <w:sz w:val="22"/>
          <w:szCs w:val="22"/>
        </w:rPr>
        <w:t xml:space="preserve">A walkthrough of the design decisions behind this project, written for a hiring audience with finance expertise but not necessarily a coding background.</w:t>
      </w:r>
    </w:p>
    <w:p>
      <w:pPr>
        <w:pStyle w:val="Heading1"/>
        <w:pBdr>
          <w:bottom w:val="single" w:color="1F4E5F" w:sz="6" w:space="4"/>
        </w:pBdr>
        <w:spacing w:after="160" w:before="360"/>
      </w:pPr>
      <w:r>
        <w:t xml:space="preserve">1. Executive Summary</w:t>
      </w:r>
    </w:p>
    <w:p>
      <w:pPr>
        <w:spacing w:after="200"/>
        <w:jc w:val="both"/>
      </w:pPr>
      <w:r>
        <w:rPr>
          <w:sz w:val="22"/>
          <w:szCs w:val="22"/>
        </w:rPr>
        <w:t xml:space="preserve">Every earnings season, analysts and portfolio managers face dozens of hours of scripted management remarks and unscripted Q&amp;A across a coverage list, and have to decide, often within minutes of a call ending, whether the tone was more bullish or bearish than the market is currently pricing in. Doing this by hand, transcript by transcript, does not scale, and doing it inconsistently — some calls read closely, others skimmed — introduces exactly the kind of human variability a systematic process is supposed to remove.</w:t>
      </w:r>
    </w:p>
    <w:p>
      <w:pPr>
        <w:spacing w:after="200"/>
        <w:jc w:val="both"/>
      </w:pPr>
      <w:r>
        <w:rPr>
          <w:sz w:val="22"/>
          <w:szCs w:val="22"/>
        </w:rPr>
        <w:t xml:space="preserve">This project builds a tool that reads a full earnings call transcript and returns a consistent, structured, machine-readable output: a 1-10 sentiment score, a one-sentence summary of forward revenue guidance, and the three most material risk factors raised on the call. It uses Claude, a large language model, as the analytical engine, but wraps that model in strict guardrails — a fixed analytical persona, a locked output format, and defensive error handling — so the result behaves like a repeatable analytical process rather than a one-off conversation.</w:t>
      </w:r>
    </w:p>
    <w:p>
      <w:pPr>
        <w:spacing w:after="200"/>
        <w:jc w:val="both"/>
      </w:pPr>
      <w:r>
        <w:rPr>
          <w:sz w:val="22"/>
          <w:szCs w:val="22"/>
        </w:rPr>
        <w:t xml:space="preserve">The result is not simply an AI chatbot behind a nicer interface. It is a structured signal-extraction pipeline, designed to be consistent, auditable, and usable as an input to further quantitative work — a distinction examined in detail in Section 6.</w:t>
      </w:r>
    </w:p>
    <w:p>
      <w:pPr>
        <w:pStyle w:val="Heading1"/>
        <w:pBdr>
          <w:bottom w:val="single" w:color="1F4E5F" w:sz="6" w:space="4"/>
        </w:pBdr>
        <w:spacing w:after="160" w:before="360"/>
      </w:pPr>
      <w:r>
        <w:t xml:space="preserve">2. The Problem</w:t>
      </w:r>
    </w:p>
    <w:p>
      <w:pPr>
        <w:spacing w:after="200"/>
        <w:jc w:val="both"/>
      </w:pPr>
      <w:r>
        <w:rPr>
          <w:sz w:val="22"/>
          <w:szCs w:val="22"/>
        </w:rPr>
        <w:t xml:space="preserve">The project addresses two distinct problems that are often blurred together when people describe “using AI to read earnings calls”:</w:t>
      </w:r>
    </w:p>
    <w:p>
      <w:pPr>
        <w:pStyle w:val="Heading2"/>
        <w:spacing w:after="120" w:before="260"/>
      </w:pPr>
      <w:r>
        <w:t xml:space="preserve">2.1 The Signal Extraction Problem</w:t>
      </w:r>
    </w:p>
    <w:p>
      <w:pPr>
        <w:spacing w:after="200"/>
        <w:jc w:val="both"/>
      </w:pPr>
      <w:r>
        <w:rPr>
          <w:sz w:val="22"/>
          <w:szCs w:val="22"/>
        </w:rPr>
        <w:t xml:space="preserve">Earnings calls carry information well beyond the headline numbers: management's tone, hedging language, unprompted risk disclosures, and changes to forward guidance. That information is unstructured — often five to ten thousand words of natural language — and buried among a great deal of boilerplate (operator introductions, pleasantries, repeated disclaimers). The real task is extracting the same handful of decision-relevant data points from every call, consistently, across a coverage list that may run to a hundred names. Done well by hand, this takes an analyst twenty to forty minutes per transcript; done consistently across time and across a team of analysts, without subjective drift creeping in, is genuinely difficult.</w:t>
      </w:r>
    </w:p>
    <w:p>
      <w:pPr>
        <w:pStyle w:val="Heading2"/>
        <w:spacing w:after="120" w:before="260"/>
      </w:pPr>
      <w:r>
        <w:t xml:space="preserve">2.2 The Consistency &amp; Structuring Problem</w:t>
      </w:r>
    </w:p>
    <w:p>
      <w:pPr>
        <w:spacing w:after="200"/>
        <w:jc w:val="both"/>
      </w:pPr>
      <w:r>
        <w:rPr>
          <w:sz w:val="22"/>
          <w:szCs w:val="22"/>
        </w:rPr>
        <w:t xml:space="preserve">Even when an AI model is brought in to help, an ad hoc conversation (“hey, what do you think of this call?”) produces free-form prose. Each response varies in structure, length, which points it emphasizes, and how it phrases sentiment. That is perfectly fine for a single, one-off read — but it cannot be dropped into a spreadsheet, compared side by side across companies, or checked against how the stock actually reacted afterward, because there is no consistent schema underneath the prose. The real problem, then, is not whether an AI model can read a transcript — it clearly can — but whether it can be made to answer the exact same set of questions, in the exact same format, every single time, so the output behaves like a data feed rather than a conversation.</w:t>
      </w:r>
    </w:p>
    <w:p>
      <w:pPr>
        <w:pStyle w:val="Heading1"/>
        <w:pBdr>
          <w:bottom w:val="single" w:color="1F4E5F" w:sz="6" w:space="4"/>
        </w:pBdr>
        <w:spacing w:after="160" w:before="360"/>
      </w:pPr>
      <w:r>
        <w:t xml:space="preserve">3. The Approach, Step by Step</w:t>
      </w:r>
    </w:p>
    <w:p>
      <w:pPr>
        <w:pStyle w:val="Heading2"/>
        <w:spacing w:after="120" w:before="260"/>
      </w:pPr>
      <w:r>
        <w:t xml:space="preserve">3.1 Input Ingestion</w:t>
      </w:r>
    </w:p>
    <w:p>
      <w:pPr>
        <w:spacing w:after="200"/>
        <w:jc w:val="both"/>
      </w:pPr>
      <w:r>
        <w:rPr>
          <w:sz w:val="22"/>
          <w:szCs w:val="22"/>
        </w:rPr>
        <w:t xml:space="preserve">The interface is deliberately minimal: a password-masked field for the user's Anthropic API key, and a text area for the raw transcript. No preprocessing or reformatting of the transcript is required — the model is capable of working directly with unstructured, pasted text.</w:t>
      </w:r>
    </w:p>
    <w:p>
      <w:pPr>
        <w:pStyle w:val="Heading2"/>
        <w:spacing w:after="120" w:before="260"/>
      </w:pPr>
      <w:r>
        <w:t xml:space="preserve">3.2 Persona &amp; Schema Locking (Prompt Engineering)</w:t>
      </w:r>
    </w:p>
    <w:p>
      <w:pPr>
        <w:spacing w:after="200"/>
        <w:jc w:val="both"/>
      </w:pPr>
      <w:r>
        <w:rPr>
          <w:sz w:val="22"/>
          <w:szCs w:val="22"/>
        </w:rPr>
        <w:t xml:space="preserve">This is the core design decision behind the project. The instructions sent to the model do two things at once: they pin it into a fixed analytical persona (“an elite quantitative equity analyst”), and, more importantly, they require it to return one and only one raw JSON object with four named fields — no conversational prose, no preamble, no markdown formatting around it. Locking the output format in the instructions themselves, rather than trusting the model to volunteer a well-structured answer, is what turns a conversational assistant into a repeatable, structured-output function running on top of the same underlying model.</w:t>
      </w:r>
    </w:p>
    <w:p>
      <w:pPr>
        <w:pStyle w:val="Heading2"/>
        <w:spacing w:after="120" w:before="260"/>
      </w:pPr>
      <w:r>
        <w:t xml:space="preserve">3.3 The API Call, With Cost Control Built In</w:t>
      </w:r>
    </w:p>
    <w:p>
      <w:pPr>
        <w:spacing w:after="200"/>
        <w:jc w:val="both"/>
      </w:pPr>
      <w:r>
        <w:rPr>
          <w:sz w:val="22"/>
          <w:szCs w:val="22"/>
        </w:rPr>
        <w:t xml:space="preserve">A dedicated function connects to the Anthropic API and submits the transcript alongside the locked instructions.</w:t>
      </w:r>
    </w:p>
    <w:p>
      <w:pPr>
        <w:spacing w:after="200"/>
        <w:jc w:val="both"/>
      </w:pPr>
      <w:r>
        <w:rPr>
          <w:b/>
          <w:bCs/>
          <w:i/>
          <w:iCs/>
          <w:sz w:val="22"/>
          <w:szCs w:val="22"/>
        </w:rPr>
        <w:t xml:space="preserve">Technical note: </w:t>
      </w:r>
      <w:r>
        <w:rPr>
          <w:i/>
          <w:iCs/>
          <w:sz w:val="22"/>
          <w:szCs w:val="22"/>
        </w:rPr>
        <w:t xml:space="preserve">The app displaying it reruns its entire page top-to-bottom every time the user clicks any button. Without a safeguard, that would silently re-submit — and re-bill — the same API request every time the user interacted with any part of the screen. A caching layer remembers the result for a given transcript and API key, so the exact same input is never paid for twice; only a genuinely new transcript or a new key triggers a fresh, billable request.</w:t>
      </w:r>
    </w:p>
    <w:p>
      <w:pPr>
        <w:pStyle w:val="Heading2"/>
        <w:spacing w:after="120" w:before="260"/>
      </w:pPr>
      <w:r>
        <w:t xml:space="preserve">3.4 Parsing &amp; Validating the Response</w:t>
      </w:r>
    </w:p>
    <w:p>
      <w:pPr>
        <w:spacing w:after="200"/>
        <w:jc w:val="both"/>
      </w:pPr>
      <w:r>
        <w:rPr>
          <w:sz w:val="22"/>
          <w:szCs w:val="22"/>
        </w:rPr>
        <w:t xml:space="preserve">Even with strict instructions, a model can occasionally add a stray formatting wrapper or omit a field. Two defensive layers guard against this: a cleanup step that strips any accidental formatting before the response is interpreted as data, and a validation check confirming that exactly the four expected fields are present before anything is displayed. A malformed response produces a clear, specific message rather than a silent error or a crash — a meaningful difference between a demo and a tool built to be relied upon.</w:t>
      </w:r>
    </w:p>
    <w:p>
      <w:pPr>
        <w:pStyle w:val="Heading2"/>
        <w:spacing w:after="120" w:before="260"/>
      </w:pPr>
      <w:r>
        <w:t xml:space="preserve">3.5 Dashboard Rendering</w:t>
      </w:r>
    </w:p>
    <w:p>
      <w:pPr>
        <w:spacing w:after="200"/>
        <w:jc w:val="both"/>
      </w:pPr>
      <w:r>
        <w:rPr>
          <w:sz w:val="22"/>
          <w:szCs w:val="22"/>
        </w:rPr>
        <w:t xml:space="preserve">The four extracted fields are mapped onto purpose-built visual elements: a headline metric for the sentiment score (labeled bullish, neutral, or bearish), a highlighted callout for the guidance sentence, and a sortable, exportable table for the three risk factors. This turns four raw data points into something a portfolio manager can absorb in five seconds, rather than something that requires reading five paragraphs to reconstruct.</w:t>
      </w:r>
    </w:p>
    <w:p>
      <w:pPr>
        <w:pStyle w:val="Heading1"/>
        <w:pBdr>
          <w:bottom w:val="single" w:color="1F4E5F" w:sz="6" w:space="4"/>
        </w:pBdr>
        <w:spacing w:after="160" w:before="360"/>
      </w:pPr>
      <w:r>
        <w:t xml:space="preserve">4. Engineering Challenges Solved in Production</w:t>
      </w:r>
    </w:p>
    <w:p>
      <w:pPr>
        <w:spacing w:after="200"/>
        <w:jc w:val="both"/>
      </w:pPr>
      <w:r>
        <w:rPr>
          <w:sz w:val="22"/>
          <w:szCs w:val="22"/>
        </w:rPr>
        <w:t xml:space="preserve">Getting the prompt design right is only part of the job; getting the tool to run reliably once deployed surfaced several real-world issues worth highlighting, since they reflect the kind of production debugging expected of a working quant developer, not just notebook-level experimentation:</w:t>
      </w:r>
    </w:p>
    <w:p>
      <w:pPr>
        <w:pStyle w:val="ListParagraph"/>
        <w:numPr>
          <w:ilvl w:val="0"/>
          <w:numId w:val="2"/>
        </w:numPr>
        <w:spacing w:after="120"/>
      </w:pPr>
      <w:r>
        <w:rPr>
          <w:b/>
          <w:bCs/>
          <w:sz w:val="22"/>
          <w:szCs w:val="22"/>
        </w:rPr>
        <w:t xml:space="preserve">Model deprecation: </w:t>
      </w:r>
      <w:r>
        <w:rPr>
          <w:sz w:val="22"/>
          <w:szCs w:val="22"/>
        </w:rPr>
        <w:t xml:space="preserve">the model identifier specified at development time was retired by the provider before the app was even deployed, returning a “not found” error. The fix required updating to the current model identifier — a reminder that any tool built on a third-party model API needs an explicit plan for model and version drift over time, not an assumption that a given model name is permanent.</w:t>
      </w:r>
    </w:p>
    <w:p>
      <w:pPr>
        <w:pStyle w:val="ListParagraph"/>
        <w:numPr>
          <w:ilvl w:val="0"/>
          <w:numId w:val="2"/>
        </w:numPr>
        <w:spacing w:after="120"/>
      </w:pPr>
      <w:r>
        <w:rPr>
          <w:b/>
          <w:bCs/>
          <w:sz w:val="22"/>
          <w:szCs w:val="22"/>
        </w:rPr>
        <w:t xml:space="preserve">Deprecated parameters: </w:t>
      </w:r>
      <w:r>
        <w:rPr>
          <w:sz w:val="22"/>
          <w:szCs w:val="22"/>
        </w:rPr>
        <w:t xml:space="preserve">the newer model version rejected a request parameter (temperature) that the previous model version had accepted without issue, requiring the request to be adjusted to match the new model's supported interface — illustrating that provider-side API contracts can shift under a tool even when its own code hasn't changed.</w:t>
      </w:r>
    </w:p>
    <w:p>
      <w:pPr>
        <w:pStyle w:val="ListParagraph"/>
        <w:numPr>
          <w:ilvl w:val="0"/>
          <w:numId w:val="2"/>
        </w:numPr>
        <w:spacing w:after="120"/>
      </w:pPr>
      <w:r>
        <w:rPr>
          <w:b/>
          <w:bCs/>
          <w:sz w:val="22"/>
          <w:szCs w:val="22"/>
        </w:rPr>
        <w:t xml:space="preserve">Defensive JSON parsing: </w:t>
      </w:r>
      <w:r>
        <w:rPr>
          <w:sz w:val="22"/>
          <w:szCs w:val="22"/>
        </w:rPr>
        <w:t xml:space="preserve">as described in Section 3.4, treating the model's output as untrusted input — validating its shape before displaying it — rather than assuming a well-formed response, in the same way a production data pipeline would validate any external data source.</w:t>
      </w:r>
    </w:p>
    <w:p>
      <w:pPr>
        <w:pStyle w:val="ListParagraph"/>
        <w:numPr>
          <w:ilvl w:val="0"/>
          <w:numId w:val="2"/>
        </w:numPr>
        <w:spacing w:after="120"/>
      </w:pPr>
      <w:r>
        <w:rPr>
          <w:b/>
          <w:bCs/>
          <w:sz w:val="22"/>
          <w:szCs w:val="22"/>
        </w:rPr>
        <w:t xml:space="preserve">Cost-aware caching: </w:t>
      </w:r>
      <w:r>
        <w:rPr>
          <w:sz w:val="22"/>
          <w:szCs w:val="22"/>
        </w:rPr>
        <w:t xml:space="preserve">treated as a first-class design requirement rather than an afterthought, since a tool that silently re-bills the user on every incidental click is not something an institutional user could deploy with confidence.</w:t>
      </w:r>
    </w:p>
    <w:p>
      <w:pPr>
        <w:pStyle w:val="Heading1"/>
        <w:pBdr>
          <w:bottom w:val="single" w:color="1F4E5F" w:sz="6" w:space="4"/>
        </w:pBdr>
        <w:spacing w:after="160" w:before="360"/>
      </w:pPr>
      <w:r>
        <w:t xml:space="preserve">5. Key Findings</w:t>
      </w:r>
    </w:p>
    <w:p>
      <w:pPr>
        <w:spacing w:after="200"/>
        <w:jc w:val="both"/>
      </w:pPr>
      <w:r>
        <w:rPr>
          <w:sz w:val="22"/>
          <w:szCs w:val="22"/>
        </w:rPr>
        <w:t xml:space="preserve">Running the tool on a sample transcript (a fictional company, “Nexora Technologies,” used for testing) illustrates the intended behavior. The call contained a genuine revenue beat, but also a narrowed full-year guidance range, elongated enterprise sales cycles in one region, rising input costs, and new competitive discounting. The tool returned a sentiment score of 6 out of 10 (neutral) — correctly declining to treat the headline revenue beat as automatically bullish, and instead weighing the hedged, cautionary language in management's own guidance discussion. It also correctly surfaced the three most material risk items directly from the prepared remarks and the analyst Q&amp;A, rather than the most repeated or most prominently placed statements on the call. This is exactly the analytical skepticism the persona instructions in Section 3.2 were designed to enforce.</w:t>
      </w:r>
    </w:p>
    <w:p>
      <w:pPr>
        <w:pStyle w:val="Heading1"/>
        <w:pBdr>
          <w:bottom w:val="single" w:color="1F4E5F" w:sz="6" w:space="4"/>
        </w:pBdr>
        <w:spacing w:after="160" w:before="360"/>
      </w:pPr>
      <w:r>
        <w:t xml:space="preserve">6. Why a Purpose-Built Tool Outperforms Pasting a Transcript Into a General Chat Interface</w:t>
      </w:r>
    </w:p>
    <w:p>
      <w:pPr>
        <w:spacing w:after="200"/>
        <w:jc w:val="both"/>
      </w:pPr>
      <w:r>
        <w:rPr>
          <w:sz w:val="22"/>
          <w:szCs w:val="22"/>
        </w:rPr>
        <w:t xml:space="preserve">A reasonable question for anyone evaluating this project is: why not just paste the transcript into Claude, ChatGPT, or Gemini directly and ask for a summary? For a single, one-off read, that works perfectly well. But for use as a repeatable input to institutional decision-making, several differences matter:</w:t>
      </w:r>
    </w:p>
    <w:p>
      <w:pPr>
        <w:pStyle w:val="ListParagraph"/>
        <w:numPr>
          <w:ilvl w:val="0"/>
          <w:numId w:val="2"/>
        </w:numPr>
        <w:spacing w:after="120"/>
      </w:pPr>
      <w:r>
        <w:rPr>
          <w:b/>
          <w:bCs/>
          <w:sz w:val="22"/>
          <w:szCs w:val="22"/>
        </w:rPr>
        <w:t xml:space="preserve">Structured output versus free text: </w:t>
      </w:r>
      <w:r>
        <w:rPr>
          <w:sz w:val="22"/>
          <w:szCs w:val="22"/>
        </w:rPr>
        <w:t xml:space="preserve">a general chat interface returns prose optimized for a human to read once, not for reuse. This tool returns a fixed data format every time, which can be dropped directly into a spreadsheet, a database, or a quantitative pipeline — without a person manually re-reading paragraphs and re-typing numbers out of them.</w:t>
      </w:r>
    </w:p>
    <w:p>
      <w:pPr>
        <w:pStyle w:val="ListParagraph"/>
        <w:numPr>
          <w:ilvl w:val="0"/>
          <w:numId w:val="2"/>
        </w:numPr>
        <w:spacing w:after="120"/>
      </w:pPr>
      <w:r>
        <w:rPr>
          <w:b/>
          <w:bCs/>
          <w:sz w:val="22"/>
          <w:szCs w:val="22"/>
        </w:rPr>
        <w:t xml:space="preserve">Consistency across time and across companies: </w:t>
      </w:r>
      <w:r>
        <w:rPr>
          <w:sz w:val="22"/>
          <w:szCs w:val="22"/>
        </w:rPr>
        <w:t xml:space="preserve">in an ordinary chat conversation, the exact wording of the question, the model's default tone, and even earlier turns in that specific conversation can subtly shift how a response is framed. This tool sends the identical, locked instructions on every single run, for every single company, which is what makes a sentiment score comparable across a fifty-name coverage list rather than a set of impressionistic, one-off reactions.</w:t>
      </w:r>
    </w:p>
    <w:p>
      <w:pPr>
        <w:pStyle w:val="ListParagraph"/>
        <w:numPr>
          <w:ilvl w:val="0"/>
          <w:numId w:val="2"/>
        </w:numPr>
        <w:spacing w:after="120"/>
      </w:pPr>
      <w:r>
        <w:rPr>
          <w:b/>
          <w:bCs/>
          <w:sz w:val="22"/>
          <w:szCs w:val="22"/>
        </w:rPr>
        <w:t xml:space="preserve">Auditability and governance: </w:t>
      </w:r>
      <w:r>
        <w:rPr>
          <w:sz w:val="22"/>
          <w:szCs w:val="22"/>
        </w:rPr>
        <w:t xml:space="preserve">in an institutional context, if an AI-generated score ever contributes — even indirectly — to an investment view, the firm needs to be able to reconstruct exactly how that score was produced. A one-off chat session is not version-controlled and is not guaranteed to be reproducible later. The instructions and output format used here are stored as code, reviewable line by line and re-runnable exactly as written — a materially different governance posture than a chat transcript.</w:t>
      </w:r>
    </w:p>
    <w:p>
      <w:pPr>
        <w:pStyle w:val="ListParagraph"/>
        <w:numPr>
          <w:ilvl w:val="0"/>
          <w:numId w:val="2"/>
        </w:numPr>
        <w:spacing w:after="120"/>
      </w:pPr>
      <w:r>
        <w:rPr>
          <w:b/>
          <w:bCs/>
          <w:sz w:val="22"/>
          <w:szCs w:val="22"/>
        </w:rPr>
        <w:t xml:space="preserve">Scale: </w:t>
      </w:r>
      <w:r>
        <w:rPr>
          <w:sz w:val="22"/>
          <w:szCs w:val="22"/>
        </w:rPr>
        <w:t xml:space="preserve">reading and reasoning about one transcript in a chat window is manageable. Reading and reasoning about forty transcripts in a single earnings season, in a consistent format, on a deadline, is a different problem. Because this tool's core logic is a plain, reusable function rather than an interactive conversation, it can be extended to loop unattended over an entire watchlist — something that is not practical inside a chat session.</w:t>
      </w:r>
    </w:p>
    <w:p>
      <w:pPr>
        <w:pStyle w:val="ListParagraph"/>
        <w:numPr>
          <w:ilvl w:val="0"/>
          <w:numId w:val="2"/>
        </w:numPr>
        <w:spacing w:after="120"/>
      </w:pPr>
      <w:r>
        <w:rPr>
          <w:b/>
          <w:bCs/>
          <w:sz w:val="22"/>
          <w:szCs w:val="22"/>
        </w:rPr>
        <w:t xml:space="preserve">Built-in error handling: </w:t>
      </w:r>
      <w:r>
        <w:rPr>
          <w:sz w:val="22"/>
          <w:szCs w:val="22"/>
        </w:rPr>
        <w:t xml:space="preserve">a general chat assistant has no mechanism to flag its own malformed or incomplete answer within someone else's workflow. This tool checks its own output against the expected format before ever displaying it, and fails loudly and specifically when something is off, rather than requiring a human to notice that a paragraph is quietly missing a figure.</w:t>
      </w:r>
    </w:p>
    <w:p>
      <w:pPr>
        <w:pStyle w:val="ListParagraph"/>
        <w:numPr>
          <w:ilvl w:val="0"/>
          <w:numId w:val="2"/>
        </w:numPr>
        <w:spacing w:after="120"/>
      </w:pPr>
      <w:r>
        <w:rPr>
          <w:b/>
          <w:bCs/>
          <w:sz w:val="22"/>
          <w:szCs w:val="22"/>
        </w:rPr>
        <w:t xml:space="preserve">Cost discipline: </w:t>
      </w:r>
      <w:r>
        <w:rPr>
          <w:sz w:val="22"/>
          <w:szCs w:val="22"/>
        </w:rPr>
        <w:t xml:space="preserve">a general chat interface will happily re-run and re-bill on every follow-up question. This tool's caching layer specifically avoids repeat charges for identical work — relevant when the same transcript may be reopened or shown to others multiple times, for example in an interview setting.</w:t>
      </w:r>
    </w:p>
    <w:p>
      <w:pPr>
        <w:spacing w:after="200"/>
        <w:jc w:val="both"/>
      </w:pPr>
      <w:r>
        <w:rPr>
          <w:sz w:val="22"/>
          <w:szCs w:val="22"/>
        </w:rPr>
        <w:t xml:space="preserve">It is worth being even-handed here: a general chat interface still has a real advantage for open-ended, exploratory follow-up questions (“why do you think this margin pressure is transitory rather than structural?”) in a way that a fixed-schema tool, by design, does not support. That is a deliberate trade-off rather than an oversight — this project optimizes for consistency, auditability, and integration with downstream systems, because that is what a systematic process actually requires, and a conversational interface is not built to guarantee any of those three things.</w:t>
      </w:r>
    </w:p>
    <w:p>
      <w:pPr>
        <w:pStyle w:val="Heading1"/>
        <w:pBdr>
          <w:bottom w:val="single" w:color="1F4E5F" w:sz="6" w:space="4"/>
        </w:pBdr>
        <w:spacing w:after="160" w:before="360"/>
      </w:pPr>
      <w:r>
        <w:t xml:space="preserve">7. Limitations &amp; Future Enhancements</w:t>
      </w:r>
    </w:p>
    <w:p>
      <w:pPr>
        <w:pStyle w:val="ListParagraph"/>
        <w:numPr>
          <w:ilvl w:val="0"/>
          <w:numId w:val="2"/>
        </w:numPr>
        <w:spacing w:after="120"/>
      </w:pPr>
      <w:r>
        <w:rPr>
          <w:b/>
          <w:bCs/>
          <w:sz w:val="22"/>
          <w:szCs w:val="22"/>
        </w:rPr>
        <w:t xml:space="preserve">No persistence: </w:t>
      </w:r>
      <w:r>
        <w:rPr>
          <w:sz w:val="22"/>
          <w:szCs w:val="22"/>
        </w:rPr>
        <w:t xml:space="preserve">results exist only for the current input; each run is independent, and history is not saved. The natural next step is logging every run — timestamp, ticker, and score — into a database or spreadsheet, building exactly the historical dataset a batch pipeline would need.</w:t>
      </w:r>
    </w:p>
    <w:p>
      <w:pPr>
        <w:pStyle w:val="ListParagraph"/>
        <w:numPr>
          <w:ilvl w:val="0"/>
          <w:numId w:val="2"/>
        </w:numPr>
        <w:spacing w:after="120"/>
      </w:pPr>
      <w:r>
        <w:rPr>
          <w:b/>
          <w:bCs/>
          <w:sz w:val="22"/>
          <w:szCs w:val="22"/>
        </w:rPr>
        <w:t xml:space="preserve">Single-call, single-model design: </w:t>
      </w:r>
      <w:r>
        <w:rPr>
          <w:sz w:val="22"/>
          <w:szCs w:val="22"/>
        </w:rPr>
        <w:t xml:space="preserve">there is currently no self-consistency check (running the same transcript multiple times and reporting the variance in the resulting score) and no ensemble across multiple model providers.</w:t>
      </w:r>
    </w:p>
    <w:p>
      <w:pPr>
        <w:pStyle w:val="ListParagraph"/>
        <w:numPr>
          <w:ilvl w:val="0"/>
          <w:numId w:val="2"/>
        </w:numPr>
        <w:spacing w:after="120"/>
      </w:pPr>
      <w:r>
        <w:rPr>
          <w:b/>
          <w:bCs/>
          <w:sz w:val="22"/>
          <w:szCs w:val="22"/>
        </w:rPr>
        <w:t xml:space="preserve">No linkage yet to market outcomes: </w:t>
      </w:r>
      <w:r>
        <w:rPr>
          <w:sz w:val="22"/>
          <w:szCs w:val="22"/>
        </w:rPr>
        <w:t xml:space="preserve">the most rigorous next step would be testing whether the sentiment score actually correlates with the stock's price reaction in the days following the call — upgrading this from a structured summarization tool into a genuinely back-tested signal.</w:t>
      </w:r>
    </w:p>
    <w:p>
      <w:pPr>
        <w:pStyle w:val="ListParagraph"/>
        <w:numPr>
          <w:ilvl w:val="0"/>
          <w:numId w:val="2"/>
        </w:numPr>
        <w:spacing w:after="120"/>
      </w:pPr>
      <w:r>
        <w:rPr>
          <w:b/>
          <w:bCs/>
          <w:sz w:val="22"/>
          <w:szCs w:val="22"/>
        </w:rPr>
        <w:t xml:space="preserve">No batch or multi-transcript mode yet: </w:t>
      </w:r>
      <w:r>
        <w:rPr>
          <w:sz w:val="22"/>
          <w:szCs w:val="22"/>
        </w:rPr>
        <w:t xml:space="preserve">the tool currently processes one transcript per run. Extending it into a “watchlist mode” that loops the same underlying function over a folder of transcripts is a straightforward extension of the existing architecture.</w:t>
      </w:r>
    </w:p>
    <w:p>
      <w:pPr>
        <w:pStyle w:val="Heading1"/>
        <w:pBdr>
          <w:bottom w:val="single" w:color="1F4E5F" w:sz="6" w:space="4"/>
        </w:pBdr>
        <w:spacing w:after="160" w:before="360"/>
      </w:pPr>
      <w:r>
        <w:t xml:space="preserve">8. Conclusion</w:t>
      </w:r>
    </w:p>
    <w:p>
      <w:pPr>
        <w:spacing w:after="200"/>
        <w:jc w:val="both"/>
      </w:pPr>
      <w:r>
        <w:rPr>
          <w:sz w:val="22"/>
          <w:szCs w:val="22"/>
        </w:rPr>
        <w:t xml:space="preserve">This project demonstrates a skill distinct from simply knowing that a large language model can read a transcript: designing the guardrails — a locked persona, a locked output format, defensive validation, and cost-aware caching — that turn a general-purpose conversational model into a dependable, structured, auditable component of a broader quantitative workflow. That distinction, between asking a chatbot a question and engineering a reliable signal-extraction process, is the skill set this project was built to showcase.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2026-07-06T00:42:00.324Z</dcterms:created>
  <dcterms:modified xsi:type="dcterms:W3CDTF">2026-07-06T00:42:00.324Z</dcterms:modified>
</cp:coreProperties>
</file>

<file path=docProps/custom.xml><?xml version="1.0" encoding="utf-8"?>
<Properties xmlns="http://schemas.openxmlformats.org/officeDocument/2006/custom-properties" xmlns:vt="http://schemas.openxmlformats.org/officeDocument/2006/docPropsVTypes"/>
</file>