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Enterprise vs. Business</w:t>
      </w:r>
    </w:p>
    <w:p>
      <w:pPr>
        <w:pStyle w:val="Subtitle"/>
      </w:pPr>
      <w:r>
        <w:t xml:space="preserve">Cuándo su organización debe elegir el plan Enterprise · Julio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r>
        <w:t xml:space="preserve">Business ($39/usuario con rol pago + $20 por paquete de 10 colaboradores) cubre a la mayoría de las PMO en crecimiento. Enterprise existe para organizaciones con requisitos de TI, compras o cumplimiento que un plan autoservicio no puede satisfacer.</w:t>
      </w:r>
    </w:p>
    <w:p>
      <w:pPr>
        <w:pStyle w:val="Heading1"/>
      </w:pPr>
      <w:r>
        <w:t xml:space="preserve">1. Comparación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2600"/>
        <w:gridCol w:w="3000"/>
      </w:tblGrid>
      <w:tr>
        <w:trPr>
          <w:tblHeader/>
        </w:trPr>
        <w:tc>
          <w:tcPr>
            <w:tcW w:type="dxa" w:w="4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3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Todas las funciones de la plataforma (importación, OCR, EVM, gobernanza, reportes)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Incluido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Incluido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Inicio de sesión único (Microsoft Entra ID / Google)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Incluido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Incluido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Sincronización de directorio (SCIM)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 hoja de ruta — se define por acuerdo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Contrato y términos legales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Términos estándar en línea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Acuerdo Maestro de Suscripción personalizado + DPA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Anexo de Procesamiento de Datos (DPA)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solicitud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Incluido en el acuerdo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Autoservicio + guías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 personal: configuración, diseño de roles, primera importación con su equipo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SLA de soporte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Estándar (ver Políticas de Servicio)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SLA prioritario, tiempos negociables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Tarjeta mensual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Factura anual, NET-30, se acepta PO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Opciones de marca blanca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Disponible (marca dentro del workspace)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Compromiso de disponibilidad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Solo meta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Compromiso contractual con créditos (negociable)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Vía BAA de HIPAA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Solo previa evaluación (plataforma no destinada a PHI)</w:t>
            </w:r>
          </w:p>
        </w:tc>
      </w:tr>
    </w:tbl>
    <w:p>
      <w:pPr>
        <w:pStyle w:val="Heading1"/>
      </w:pPr>
      <w:r>
        <w:t xml:space="preserve">2. Elija Enterprise si aplica alguno de estos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Compras requiere contrato firmado. </w:t>
      </w:r>
      <w:r>
        <w:t xml:space="preserve">Su equipo legal necesita términos negociados, un DPA y alta de proveedor — no términos de clic.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 requiere identidad centralizada. </w:t>
      </w:r>
      <w:r>
        <w:t xml:space="preserve">Los usuarios deben gobernarse mediante Microsoft Entra ID hoy, con ruta hacia aprovisionamiento automatizado (SCIM).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Finanzas requiere facturas. </w:t>
      </w:r>
      <w:r>
        <w:t xml:space="preserve">Presupuesto anual, órdenes de compra y pago por factura NET-30 en vez de cargo mensual a tarjeta.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Quiere una implementación guiada. </w:t>
      </w:r>
      <w:r>
        <w:t xml:space="preserve">Onboarding personal: configuramos el workspace, diseñamos los roles con su PMO e importamos juntos sus primeros planes reales.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Necesita garantías contractuales. </w:t>
      </w:r>
      <w:r>
        <w:t xml:space="preserve">SLA de soporte prioritario y compromiso contractual de disponibilidad.</w:t>
      </w:r>
    </w:p>
    <w:p>
      <w:pPr>
        <w:pStyle w:val="Heading1"/>
      </w:pPr>
      <w:r>
        <w:t xml:space="preserve">3. Cuánto cuesta Enterprise</w:t>
      </w:r>
    </w:p>
    <w:p>
      <w:pPr>
        <w:pStyle w:val="ListParagraph"/>
        <w:numPr>
          <w:ilvl w:val="0"/>
          <w:numId w:val="2"/>
        </w:numPr>
      </w:pPr>
      <w:r>
        <w:t xml:space="preserve">El precio Enterprise es personalizado, según cantidad de usuarios, alcance del onboarding y requisitos contractuales — cotizado anualmente y facturado por factura.</w:t>
      </w:r>
    </w:p>
    <w:p>
      <w:pPr>
        <w:pStyle w:val="ListParagraph"/>
        <w:numPr>
          <w:ilvl w:val="0"/>
          <w:numId w:val="2"/>
        </w:numPr>
      </w:pPr>
      <w:r>
        <w:t xml:space="preserve">Como referencia, los acuerdos Enterprise inician por encima de la suscripción Business equivalente para el mismo equipo, con el onboarding típicamente incluido en el primer año.</w:t>
      </w:r>
    </w:p>
    <w:p>
      <w:pPr>
        <w:pStyle w:val="Heading1"/>
      </w:pPr>
      <w:r>
        <w:t xml:space="preserve">4. Próximo paso</w:t>
      </w:r>
    </w:p>
    <w:p>
      <w:r>
        <w:rPr>
          <w:b/>
          <w:bCs/>
        </w:rPr>
        <w:t xml:space="preserve">Solicite una cotización: </w:t>
      </w:r>
      <w:r>
        <w:t xml:space="preserve">sales@flowsyncpm.com — incluya la cantidad aproximada de usuarios (roles de gestión vs. colaboradores) y cualquier requisito de TI/legal. Respondemos con una propuesta en 2 días hábiles.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2026-07-21T14:44:52.677Z</dcterms:created>
  <dcterms:modified xsi:type="dcterms:W3CDTF">2026-07-21T14:44:52.677Z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