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FACTURA</w:t>
      </w:r>
    </w:p>
    <w:p>
      <w:r>
        <w:rPr>
          <w:b/>
          <w:bCs/>
          <w:color w:val="DC2626"/>
        </w:rPr>
        <w:t xml:space="preserve">MUESTRA — SOLO PARA ILUSTRACIÓN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900"/>
        <w:gridCol w:w="4900"/>
      </w:tblGrid>
      <w:tr>
        <w:trPr>
          <w:tblHeader/>
        </w:trPr>
        <w:tc>
          <w:tcPr>
            <w:tcW w:type="dxa" w:w="4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4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Facturar a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FLOW SYNC PM</w:t>
            </w:r>
          </w:p>
          <w:p>
            <w:pPr>
              <w:spacing w:after="0"/>
            </w:pPr>
            <w:r>
              <w:t xml:space="preserve">Registro de Comerciante Núm. 1552654-0010</w:t>
            </w:r>
          </w:p>
          <w:p>
            <w:pPr>
              <w:spacing w:after="0"/>
            </w:pPr>
            <w:r>
              <w:t xml:space="preserve">NAICS 54151 · Puerto Rico, EE. UU.</w:t>
            </w:r>
          </w:p>
          <w:p>
            <w:pPr>
              <w:spacing w:after="0"/>
            </w:pPr>
            <w:r>
              <w:t xml:space="preserve">billing@flowsyncpm.com · flowsyncpm.com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[Nombre legal del cliente]</w:t>
            </w:r>
          </w:p>
          <w:p>
            <w:pPr>
              <w:spacing w:after="0"/>
            </w:pPr>
            <w:r>
              <w:t xml:space="preserve">[Dirección de facturación]</w:t>
            </w:r>
          </w:p>
          <w:p>
            <w:pPr>
              <w:spacing w:after="0"/>
            </w:pPr>
            <w:r>
              <w:t xml:space="preserve">[Contacto de cuentas por pagar]</w:t>
            </w:r>
          </w:p>
          <w:p>
            <w:pPr>
              <w:spacing w:after="0"/>
            </w:pPr>
            <w:r>
              <w:t xml:space="preserve">[Núm. de PO, si aplica]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type="dxa" w:w="24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Núm. de factura</w:t>
            </w:r>
          </w:p>
        </w:tc>
        <w:tc>
          <w:tcPr>
            <w:tcW w:type="dxa" w:w="24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4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Términos</w:t>
            </w:r>
          </w:p>
        </w:tc>
        <w:tc>
          <w:tcPr>
            <w:tcW w:type="dxa" w:w="24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Vencimiento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FSPM-2026-0001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19 de julio de 2026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NET-30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 de agosto de 2026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400"/>
        <w:gridCol w:w="900"/>
        <w:gridCol w:w="1700"/>
        <w:gridCol w:w="1800"/>
      </w:tblGrid>
      <w:tr>
        <w:trPr>
          <w:tblHeader/>
        </w:trPr>
        <w:tc>
          <w:tcPr>
            <w:tcW w:type="dxa" w:w="5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17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unitario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Importe (USD)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Suscripción FlowSync PM Enterprise — anual (jul 2026 – jun 2027), [N] usuarios con rol de gestión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$[X,XXX].00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$[X,XXX].00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Paquetes de colaboradores (10 usuarios c/u) — anual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[N]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$[XXX].00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$[XXX].00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Onboarding Enterprise: configuración del workspace, diseño de roles, primera importación (único)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$[XXX].00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$[XXX].00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400"/>
        <w:gridCol w:w="1700"/>
        <w:gridCol w:w="1000"/>
        <w:gridCol w:w="1700"/>
      </w:tblGrid>
      <w:tr>
        <w:trPr>
          <w:tblHeader/>
        </w:trPr>
        <w:tc>
          <w:tcPr>
            <w:tcW w:type="dxa" w:w="5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  <w:tc>
          <w:tcPr>
            <w:tcW w:type="dxa" w:w="10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Impuesto*</w:t>
            </w:r>
          </w:p>
        </w:tc>
        <w:tc>
          <w:tcPr>
            <w:tcW w:type="dxa" w:w="17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a pagar (USD)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$[X,XXX].00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$[XX].00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$[X,XXX].00</w:t>
            </w:r>
          </w:p>
        </w:tc>
      </w:tr>
    </w:tbl>
    <w:p>
      <w:r>
        <w:rPr>
          <w:i/>
          <w:iCs/>
          <w:color w:val="64748B"/>
          <w:sz w:val="18"/>
          <w:szCs w:val="18"/>
        </w:rPr>
        <w:t xml:space="preserve">* Impuesto sobre ventas y uso de Puerto Rico (IVU) aplicado donde la ley lo requiera.</w:t>
      </w:r>
    </w:p>
    <w:p>
      <w:pPr>
        <w:pStyle w:val="Heading2"/>
      </w:pPr>
      <w:r>
        <w:t xml:space="preserve">Pago</w:t>
      </w:r>
    </w:p>
    <w:p>
      <w:pPr>
        <w:pStyle w:val="ListParagraph"/>
        <w:numPr>
          <w:ilvl w:val="0"/>
          <w:numId w:val="2"/>
        </w:numPr>
      </w:pPr>
      <w:r>
        <w:t xml:space="preserve">ACH / transferencia bancaria: datos de remesa provistos al firmar el contrato.</w:t>
      </w:r>
    </w:p>
    <w:p>
      <w:pPr>
        <w:pStyle w:val="ListParagraph"/>
        <w:numPr>
          <w:ilvl w:val="0"/>
          <w:numId w:val="2"/>
        </w:numPr>
      </w:pPr>
      <w:r>
        <w:t xml:space="preserve">Favor de referenciar el número de factura en todos los pagos.</w:t>
      </w:r>
    </w:p>
    <w:p>
      <w:pPr>
        <w:pStyle w:val="ListParagraph"/>
        <w:numPr>
          <w:ilvl w:val="0"/>
          <w:numId w:val="2"/>
        </w:numPr>
      </w:pPr>
      <w:r>
        <w:t xml:space="preserve">Preguntas: billing@flowsyncpm.com</w:t>
      </w:r>
    </w:p>
    <w:p>
      <w:pPr>
        <w:spacing w:before="200"/>
      </w:pPr>
      <w:r>
        <w:rPr>
          <w:i/>
          <w:iCs/>
          <w:color w:val="64748B"/>
          <w:sz w:val="18"/>
          <w:szCs w:val="18"/>
        </w:rPr>
        <w:t xml:space="preserve">Términos de pago NET-30 desde la fecha de factura. Los saldos vencidos pueden acumular intereses según lo permita el Acuerdo Maestro de Suscripción. Esta muestra se provee para evaluación de compras; una factura real reflejará el formulario de orden ejecutado.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2026-07-21T14:44:52.840Z</dcterms:created>
  <dcterms:modified xsi:type="dcterms:W3CDTF">2026-07-21T14:44:52.840Z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