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Enterprise vs. Business</w:t>
      </w:r>
    </w:p>
    <w:p>
      <w:pPr>
        <w:pStyle w:val="Subtitle"/>
      </w:pPr>
      <w:r>
        <w:t xml:space="preserve">When your organization should choose the Enterprise plan · July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r>
        <w:t xml:space="preserve">Business ($39/paid-role user + $20 per 10-contributor bundle) covers most growing PMOs. Enterprise exists for organizations with IT, procurement, or compliance requirements that a self-serve plan cannot satisfy.</w:t>
      </w:r>
    </w:p>
    <w:p>
      <w:pPr>
        <w:pStyle w:val="Heading1"/>
      </w:pPr>
      <w:r>
        <w:t xml:space="preserve">1. Side-by-side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200"/>
        <w:gridCol w:w="2600"/>
        <w:gridCol w:w="3000"/>
      </w:tblGrid>
      <w:tr>
        <w:trPr>
          <w:tblHeader/>
        </w:trPr>
        <w:tc>
          <w:tcPr>
            <w:tcW w:type="dxa" w:w="4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6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3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All platform features (import, OCR, EVM, governance, reports)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Single sign-on (Microsoft Entra ID / Google)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Directory sync (SCIM provisioning/deprovisioning)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Roadmap — scoped per deal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Contract &amp; legal terms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Standard online terms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 Master Subscription Agreement + DPA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 Processing Addendum (DPA)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 request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Included in agreement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Self-serve + guides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onboarding: workspace setup, role design, first plan import with your team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Support SLA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Standard (see Service Policies)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Priority SLA, negotiable response times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Monthly credit card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invoice, NET-30, PO accepted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White-label options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Available (branding within the workspace)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Uptime commitment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Target only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Contractual commitment with service credits (negotiable)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HIPAA BAA pathway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Upon review only (platform not intended for PHI)</w:t>
            </w:r>
          </w:p>
        </w:tc>
      </w:tr>
    </w:tbl>
    <w:p>
      <w:pPr>
        <w:pStyle w:val="Heading1"/>
      </w:pPr>
      <w:r>
        <w:t xml:space="preserve">2. Choose Enterprise if any of these apply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Procurement requires a signed contract. </w:t>
      </w:r>
      <w:r>
        <w:t xml:space="preserve">Your legal team needs negotiated terms, a DPA, and vendor onboarding — not click-through terms.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requires centralized identity. </w:t>
      </w:r>
      <w:r>
        <w:t xml:space="preserve">Users must be governed through Microsoft Entra ID today, with a path to automated provisioning (SCIM) as it lands.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 requires invoices. </w:t>
      </w:r>
      <w:r>
        <w:t xml:space="preserve">Annual budgeting, purchase orders, and NET-30 invoice payment instead of a monthly card charge.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 want a guided rollout. </w:t>
      </w:r>
      <w:r>
        <w:t xml:space="preserve">A personal onboarding engagement: we configure the workspace, design roles with your PMO, and import your first real plans together.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 need contractual assurances. </w:t>
      </w:r>
      <w:r>
        <w:t xml:space="preserve">Priority support SLA and a contractual uptime commitment.</w:t>
      </w:r>
    </w:p>
    <w:p>
      <w:pPr>
        <w:pStyle w:val="Heading1"/>
      </w:pPr>
      <w:r>
        <w:t xml:space="preserve">3. What Enterprise costs</w:t>
      </w:r>
    </w:p>
    <w:p>
      <w:pPr>
        <w:pStyle w:val="ListParagraph"/>
        <w:numPr>
          <w:ilvl w:val="0"/>
          <w:numId w:val="2"/>
        </w:numPr>
      </w:pPr>
      <w:r>
        <w:t xml:space="preserve">Enterprise pricing is custom, based on user count, onboarding scope, and contractual requirements — quoted annually and billed by invoice.</w:t>
      </w:r>
    </w:p>
    <w:p>
      <w:pPr>
        <w:pStyle w:val="ListParagraph"/>
        <w:numPr>
          <w:ilvl w:val="0"/>
          <w:numId w:val="2"/>
        </w:numPr>
      </w:pPr>
      <w:r>
        <w:t xml:space="preserve">As a reference point, Enterprise engagements start above the equivalent Business subscription for the same team size, with onboarding typically included in year one.</w:t>
      </w:r>
    </w:p>
    <w:p>
      <w:pPr>
        <w:pStyle w:val="Heading1"/>
      </w:pPr>
      <w:r>
        <w:t xml:space="preserve">4. Next step</w:t>
      </w:r>
    </w:p>
    <w:p>
      <w:r>
        <w:rPr>
          <w:b/>
          <w:bCs/>
        </w:rPr>
        <w:t xml:space="preserve">Request a quote: </w:t>
      </w:r>
      <w:r>
        <w:t xml:space="preserve">sales@flowsyncpm.com — include approximate user count (management roles vs. contributors) and any IT/legal requirements. We respond with a proposal within 2 business days.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2026-07-19T23:17:05.611Z</dcterms:created>
  <dcterms:modified xsi:type="dcterms:W3CDTF">2026-07-19T23:17:05.612Z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